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1175" w14:textId="77777777" w:rsidR="00A33E32" w:rsidRDefault="00000000">
      <w:pPr>
        <w:jc w:val="center"/>
        <w:rPr>
          <w:rFonts w:ascii="仿宋" w:eastAsia="仿宋" w:hAnsi="仿宋"/>
          <w:b/>
          <w:sz w:val="32"/>
          <w:szCs w:val="32"/>
        </w:rPr>
      </w:pPr>
      <w:r>
        <w:rPr>
          <w:rFonts w:ascii="仿宋" w:eastAsia="仿宋" w:hAnsi="仿宋" w:hint="eastAsia"/>
          <w:b/>
          <w:sz w:val="32"/>
          <w:szCs w:val="32"/>
        </w:rPr>
        <w:t>广州南方学院2023年度广东省教育厅科研</w:t>
      </w:r>
      <w:proofErr w:type="gramStart"/>
      <w:r>
        <w:rPr>
          <w:rFonts w:ascii="仿宋" w:eastAsia="仿宋" w:hAnsi="仿宋" w:hint="eastAsia"/>
          <w:b/>
          <w:sz w:val="32"/>
          <w:szCs w:val="32"/>
        </w:rPr>
        <w:t>项目结项验收</w:t>
      </w:r>
      <w:proofErr w:type="gramEnd"/>
      <w:r>
        <w:rPr>
          <w:rFonts w:ascii="仿宋" w:eastAsia="仿宋" w:hAnsi="仿宋" w:hint="eastAsia"/>
          <w:b/>
          <w:sz w:val="32"/>
          <w:szCs w:val="32"/>
        </w:rPr>
        <w:t>评审会安排</w:t>
      </w:r>
    </w:p>
    <w:p w14:paraId="15197918" w14:textId="5D18E65D" w:rsidR="00A33E32" w:rsidRDefault="00000000">
      <w:pPr>
        <w:jc w:val="center"/>
        <w:rPr>
          <w:rFonts w:ascii="仿宋" w:eastAsia="仿宋" w:hAnsi="仿宋"/>
          <w:b/>
          <w:color w:val="FF0000"/>
          <w:sz w:val="32"/>
          <w:szCs w:val="32"/>
        </w:rPr>
      </w:pPr>
      <w:r>
        <w:rPr>
          <w:rFonts w:ascii="仿宋" w:eastAsia="仿宋" w:hAnsi="仿宋" w:hint="eastAsia"/>
          <w:b/>
          <w:color w:val="FF0000"/>
          <w:sz w:val="32"/>
          <w:szCs w:val="32"/>
        </w:rPr>
        <w:t>12月</w:t>
      </w:r>
      <w:r w:rsidR="0096244F">
        <w:rPr>
          <w:rFonts w:ascii="仿宋" w:eastAsia="仿宋" w:hAnsi="仿宋"/>
          <w:b/>
          <w:color w:val="FF0000"/>
          <w:sz w:val="32"/>
          <w:szCs w:val="32"/>
        </w:rPr>
        <w:t>15</w:t>
      </w:r>
      <w:r>
        <w:rPr>
          <w:rFonts w:ascii="仿宋" w:eastAsia="仿宋" w:hAnsi="仿宋" w:hint="eastAsia"/>
          <w:b/>
          <w:color w:val="FF0000"/>
          <w:sz w:val="32"/>
          <w:szCs w:val="32"/>
        </w:rPr>
        <w:t>日（星期</w:t>
      </w:r>
      <w:r w:rsidR="0096244F">
        <w:rPr>
          <w:rFonts w:ascii="仿宋" w:eastAsia="仿宋" w:hAnsi="仿宋" w:hint="eastAsia"/>
          <w:b/>
          <w:color w:val="FF0000"/>
          <w:sz w:val="32"/>
          <w:szCs w:val="32"/>
        </w:rPr>
        <w:t>五</w:t>
      </w:r>
      <w:r>
        <w:rPr>
          <w:rFonts w:ascii="仿宋" w:eastAsia="仿宋" w:hAnsi="仿宋" w:hint="eastAsia"/>
          <w:b/>
          <w:color w:val="FF0000"/>
          <w:sz w:val="32"/>
          <w:szCs w:val="32"/>
        </w:rPr>
        <w:t>）13：00-18：20</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24"/>
        <w:gridCol w:w="1550"/>
        <w:gridCol w:w="4636"/>
        <w:gridCol w:w="1364"/>
        <w:gridCol w:w="1886"/>
      </w:tblGrid>
      <w:tr w:rsidR="00A33E32" w14:paraId="4F27D627" w14:textId="77777777">
        <w:trPr>
          <w:trHeight w:val="468"/>
        </w:trPr>
        <w:tc>
          <w:tcPr>
            <w:tcW w:w="724" w:type="dxa"/>
            <w:tcBorders>
              <w:top w:val="single" w:sz="4" w:space="0" w:color="000000"/>
              <w:left w:val="single" w:sz="4" w:space="0" w:color="000000"/>
              <w:bottom w:val="single" w:sz="4" w:space="0" w:color="000000"/>
              <w:right w:val="single" w:sz="4" w:space="0" w:color="000000"/>
            </w:tcBorders>
            <w:vAlign w:val="center"/>
          </w:tcPr>
          <w:p w14:paraId="0D473B0E" w14:textId="77777777" w:rsidR="00A33E32" w:rsidRDefault="00000000">
            <w:pPr>
              <w:widowControl/>
              <w:jc w:val="center"/>
              <w:textAlignment w:val="center"/>
              <w:rPr>
                <w:rFonts w:ascii="宋体" w:hAnsi="宋体" w:cs="宋体"/>
                <w:b/>
                <w:color w:val="000000"/>
                <w:sz w:val="24"/>
                <w:szCs w:val="22"/>
              </w:rPr>
            </w:pPr>
            <w:r>
              <w:rPr>
                <w:rFonts w:ascii="宋体" w:hAnsi="宋体" w:cs="宋体" w:hint="eastAsia"/>
                <w:b/>
                <w:color w:val="000000"/>
                <w:sz w:val="24"/>
                <w:szCs w:val="22"/>
              </w:rPr>
              <w:t>序号</w:t>
            </w:r>
          </w:p>
        </w:tc>
        <w:tc>
          <w:tcPr>
            <w:tcW w:w="1550" w:type="dxa"/>
            <w:tcBorders>
              <w:top w:val="single" w:sz="4" w:space="0" w:color="000000"/>
              <w:left w:val="single" w:sz="4" w:space="0" w:color="000000"/>
              <w:bottom w:val="single" w:sz="4" w:space="0" w:color="auto"/>
              <w:right w:val="single" w:sz="4" w:space="0" w:color="000000"/>
            </w:tcBorders>
            <w:vAlign w:val="center"/>
          </w:tcPr>
          <w:p w14:paraId="00B13772" w14:textId="77777777" w:rsidR="00A33E32" w:rsidRDefault="00000000">
            <w:pPr>
              <w:widowControl/>
              <w:ind w:firstLineChars="100" w:firstLine="241"/>
              <w:jc w:val="left"/>
              <w:textAlignment w:val="center"/>
              <w:rPr>
                <w:rFonts w:ascii="宋体" w:hAnsi="宋体" w:cs="宋体"/>
                <w:b/>
                <w:color w:val="000000"/>
                <w:kern w:val="0"/>
                <w:sz w:val="24"/>
                <w:szCs w:val="22"/>
              </w:rPr>
            </w:pPr>
            <w:r>
              <w:rPr>
                <w:rFonts w:ascii="宋体" w:hAnsi="宋体" w:cs="宋体" w:hint="eastAsia"/>
                <w:b/>
                <w:color w:val="000000"/>
                <w:kern w:val="0"/>
                <w:sz w:val="24"/>
                <w:szCs w:val="22"/>
              </w:rPr>
              <w:t xml:space="preserve">评审时间 </w:t>
            </w:r>
          </w:p>
        </w:tc>
        <w:tc>
          <w:tcPr>
            <w:tcW w:w="4636" w:type="dxa"/>
            <w:tcBorders>
              <w:top w:val="single" w:sz="4" w:space="0" w:color="000000"/>
              <w:left w:val="single" w:sz="4" w:space="0" w:color="000000"/>
              <w:bottom w:val="single" w:sz="4" w:space="0" w:color="000000"/>
              <w:right w:val="single" w:sz="4" w:space="0" w:color="000000"/>
            </w:tcBorders>
            <w:vAlign w:val="center"/>
          </w:tcPr>
          <w:p w14:paraId="29A8BC19" w14:textId="77777777" w:rsidR="00A33E32" w:rsidRDefault="00000000">
            <w:pPr>
              <w:widowControl/>
              <w:ind w:firstLineChars="600" w:firstLine="1446"/>
              <w:jc w:val="left"/>
              <w:textAlignment w:val="center"/>
              <w:rPr>
                <w:rFonts w:ascii="宋体" w:hAnsi="宋体" w:cs="宋体"/>
                <w:b/>
                <w:color w:val="000000"/>
                <w:kern w:val="0"/>
                <w:sz w:val="24"/>
                <w:szCs w:val="22"/>
              </w:rPr>
            </w:pPr>
            <w:r>
              <w:rPr>
                <w:rFonts w:ascii="宋体" w:hAnsi="宋体" w:cs="宋体" w:hint="eastAsia"/>
                <w:b/>
                <w:color w:val="000000"/>
                <w:kern w:val="0"/>
                <w:sz w:val="24"/>
                <w:szCs w:val="22"/>
              </w:rPr>
              <w:t>项目名称</w:t>
            </w:r>
          </w:p>
        </w:tc>
        <w:tc>
          <w:tcPr>
            <w:tcW w:w="1364" w:type="dxa"/>
            <w:tcBorders>
              <w:top w:val="single" w:sz="4" w:space="0" w:color="000000"/>
              <w:left w:val="single" w:sz="4" w:space="0" w:color="000000"/>
              <w:bottom w:val="single" w:sz="4" w:space="0" w:color="000000"/>
              <w:right w:val="single" w:sz="4" w:space="0" w:color="000000"/>
            </w:tcBorders>
            <w:vAlign w:val="center"/>
          </w:tcPr>
          <w:p w14:paraId="4944E0F3" w14:textId="77777777" w:rsidR="00A33E32" w:rsidRDefault="00000000">
            <w:pPr>
              <w:widowControl/>
              <w:jc w:val="center"/>
              <w:textAlignment w:val="center"/>
              <w:rPr>
                <w:rFonts w:ascii="宋体" w:hAnsi="宋体" w:cs="宋体"/>
                <w:b/>
                <w:color w:val="000000"/>
                <w:kern w:val="0"/>
                <w:sz w:val="24"/>
                <w:szCs w:val="22"/>
              </w:rPr>
            </w:pPr>
            <w:r>
              <w:rPr>
                <w:rFonts w:ascii="宋体" w:hAnsi="宋体" w:cs="宋体" w:hint="eastAsia"/>
                <w:b/>
                <w:color w:val="000000"/>
                <w:kern w:val="0"/>
                <w:sz w:val="24"/>
                <w:szCs w:val="22"/>
              </w:rPr>
              <w:t>项目负责人</w:t>
            </w:r>
          </w:p>
        </w:tc>
        <w:tc>
          <w:tcPr>
            <w:tcW w:w="1886" w:type="dxa"/>
            <w:tcBorders>
              <w:top w:val="single" w:sz="4" w:space="0" w:color="000000"/>
              <w:left w:val="single" w:sz="4" w:space="0" w:color="000000"/>
              <w:bottom w:val="single" w:sz="4" w:space="0" w:color="000000"/>
              <w:right w:val="single" w:sz="4" w:space="0" w:color="000000"/>
            </w:tcBorders>
            <w:vAlign w:val="center"/>
          </w:tcPr>
          <w:p w14:paraId="7276B5C2" w14:textId="77777777" w:rsidR="00A33E32" w:rsidRDefault="00000000">
            <w:pPr>
              <w:widowControl/>
              <w:jc w:val="center"/>
              <w:textAlignment w:val="center"/>
              <w:rPr>
                <w:rFonts w:ascii="宋体" w:hAnsi="宋体" w:cs="宋体"/>
                <w:b/>
                <w:color w:val="000000"/>
                <w:kern w:val="0"/>
                <w:sz w:val="24"/>
                <w:szCs w:val="22"/>
              </w:rPr>
            </w:pPr>
            <w:r>
              <w:rPr>
                <w:rFonts w:ascii="宋体" w:hAnsi="宋体" w:cs="宋体" w:hint="eastAsia"/>
                <w:b/>
                <w:color w:val="000000"/>
                <w:kern w:val="0"/>
                <w:sz w:val="24"/>
                <w:szCs w:val="22"/>
              </w:rPr>
              <w:t>项目负责人单位</w:t>
            </w:r>
          </w:p>
        </w:tc>
      </w:tr>
      <w:tr w:rsidR="00A33E32" w14:paraId="300D433A" w14:textId="77777777">
        <w:trPr>
          <w:trHeight w:val="363"/>
        </w:trPr>
        <w:tc>
          <w:tcPr>
            <w:tcW w:w="724" w:type="dxa"/>
            <w:tcBorders>
              <w:top w:val="single" w:sz="4" w:space="0" w:color="auto"/>
              <w:left w:val="single" w:sz="4" w:space="0" w:color="auto"/>
              <w:bottom w:val="single" w:sz="4" w:space="0" w:color="auto"/>
              <w:right w:val="single" w:sz="4" w:space="0" w:color="auto"/>
            </w:tcBorders>
            <w:vAlign w:val="center"/>
          </w:tcPr>
          <w:p w14:paraId="464F679D"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50" w:type="dxa"/>
            <w:tcBorders>
              <w:top w:val="single" w:sz="4" w:space="0" w:color="auto"/>
              <w:left w:val="single" w:sz="4" w:space="0" w:color="auto"/>
              <w:bottom w:val="single" w:sz="4" w:space="0" w:color="auto"/>
              <w:right w:val="single" w:sz="4" w:space="0" w:color="auto"/>
            </w:tcBorders>
            <w:vAlign w:val="center"/>
          </w:tcPr>
          <w:p w14:paraId="6F46DCE1"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13:00-13:20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0C94A4B1" w14:textId="77777777" w:rsidR="00A33E32" w:rsidRDefault="00000000">
            <w:pPr>
              <w:widowControl/>
              <w:jc w:val="center"/>
              <w:textAlignment w:val="center"/>
            </w:pPr>
            <w:r>
              <w:rPr>
                <w:rFonts w:ascii="宋体" w:hAnsi="宋体" w:cs="宋体" w:hint="eastAsia"/>
                <w:color w:val="000000"/>
                <w:kern w:val="0"/>
                <w:sz w:val="24"/>
                <w:lang w:bidi="ar"/>
              </w:rPr>
              <w:t>分类管理背景下广东省民办高校政策风险评估研究</w:t>
            </w:r>
          </w:p>
        </w:tc>
        <w:tc>
          <w:tcPr>
            <w:tcW w:w="1364" w:type="dxa"/>
            <w:tcBorders>
              <w:top w:val="single" w:sz="4" w:space="0" w:color="auto"/>
              <w:left w:val="nil"/>
              <w:bottom w:val="single" w:sz="4" w:space="0" w:color="auto"/>
              <w:right w:val="single" w:sz="4" w:space="0" w:color="auto"/>
            </w:tcBorders>
            <w:shd w:val="clear" w:color="000000" w:fill="FFFFFF"/>
            <w:vAlign w:val="center"/>
          </w:tcPr>
          <w:p w14:paraId="3D7EE501" w14:textId="77777777" w:rsidR="00A33E32" w:rsidRDefault="00000000">
            <w:pPr>
              <w:widowControl/>
              <w:jc w:val="center"/>
              <w:textAlignment w:val="center"/>
            </w:pPr>
            <w:proofErr w:type="gramStart"/>
            <w:r>
              <w:rPr>
                <w:rFonts w:ascii="宋体" w:hAnsi="宋体" w:cs="宋体" w:hint="eastAsia"/>
                <w:color w:val="000000"/>
                <w:kern w:val="0"/>
                <w:sz w:val="24"/>
                <w:lang w:bidi="ar"/>
              </w:rPr>
              <w:t>欧崇亚</w:t>
            </w:r>
            <w:proofErr w:type="gramEnd"/>
          </w:p>
        </w:tc>
        <w:tc>
          <w:tcPr>
            <w:tcW w:w="1886" w:type="dxa"/>
            <w:tcBorders>
              <w:top w:val="single" w:sz="4" w:space="0" w:color="auto"/>
              <w:left w:val="nil"/>
              <w:bottom w:val="single" w:sz="4" w:space="0" w:color="auto"/>
              <w:right w:val="single" w:sz="4" w:space="0" w:color="auto"/>
            </w:tcBorders>
            <w:shd w:val="clear" w:color="000000" w:fill="FFFFFF"/>
            <w:vAlign w:val="center"/>
          </w:tcPr>
          <w:p w14:paraId="482434E0" w14:textId="77777777" w:rsidR="00A33E32" w:rsidRDefault="00000000">
            <w:pPr>
              <w:widowControl/>
              <w:jc w:val="center"/>
              <w:textAlignment w:val="center"/>
            </w:pPr>
            <w:r>
              <w:rPr>
                <w:rFonts w:ascii="宋体" w:hAnsi="宋体" w:cs="宋体" w:hint="eastAsia"/>
                <w:color w:val="000000"/>
                <w:kern w:val="0"/>
                <w:sz w:val="24"/>
                <w:lang w:bidi="ar"/>
              </w:rPr>
              <w:t>公共管理学院</w:t>
            </w:r>
          </w:p>
        </w:tc>
      </w:tr>
      <w:tr w:rsidR="00A33E32" w14:paraId="3C1A3BC6"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07D8D759" w14:textId="77777777" w:rsidR="00A33E32" w:rsidRDefault="00000000">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550" w:type="dxa"/>
            <w:tcBorders>
              <w:top w:val="single" w:sz="4" w:space="0" w:color="auto"/>
              <w:left w:val="single" w:sz="4" w:space="0" w:color="auto"/>
              <w:bottom w:val="single" w:sz="4" w:space="0" w:color="auto"/>
              <w:right w:val="single" w:sz="4" w:space="0" w:color="auto"/>
            </w:tcBorders>
            <w:vAlign w:val="center"/>
          </w:tcPr>
          <w:p w14:paraId="24CA2B8E"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3:2</w:t>
            </w:r>
            <w:r>
              <w:rPr>
                <w:rFonts w:ascii="宋体" w:hAnsi="宋体" w:cs="宋体"/>
                <w:color w:val="000000"/>
                <w:kern w:val="0"/>
                <w:sz w:val="22"/>
                <w:szCs w:val="22"/>
              </w:rPr>
              <w:t>0-1</w:t>
            </w:r>
            <w:r>
              <w:rPr>
                <w:rFonts w:ascii="宋体" w:hAnsi="宋体" w:cs="宋体" w:hint="eastAsia"/>
                <w:color w:val="000000"/>
                <w:kern w:val="0"/>
                <w:sz w:val="22"/>
                <w:szCs w:val="22"/>
              </w:rPr>
              <w:t>3:40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7AF59F3A" w14:textId="77777777" w:rsidR="00A33E32" w:rsidRDefault="00000000">
            <w:pPr>
              <w:widowControl/>
              <w:jc w:val="center"/>
              <w:textAlignment w:val="center"/>
              <w:rPr>
                <w:rFonts w:ascii="宋体" w:hAnsi="宋体"/>
                <w:color w:val="000000"/>
                <w:sz w:val="22"/>
                <w:szCs w:val="22"/>
              </w:rPr>
            </w:pPr>
            <w:r>
              <w:rPr>
                <w:rFonts w:ascii="宋体" w:hAnsi="宋体" w:cs="宋体" w:hint="eastAsia"/>
                <w:color w:val="000000"/>
                <w:kern w:val="0"/>
                <w:sz w:val="24"/>
                <w:lang w:bidi="ar"/>
              </w:rPr>
              <w:t>粤港澳大湾区文化</w:t>
            </w:r>
            <w:proofErr w:type="gramStart"/>
            <w:r>
              <w:rPr>
                <w:rFonts w:ascii="宋体" w:hAnsi="宋体" w:cs="宋体" w:hint="eastAsia"/>
                <w:color w:val="000000"/>
                <w:kern w:val="0"/>
                <w:sz w:val="24"/>
                <w:lang w:bidi="ar"/>
              </w:rPr>
              <w:t>遗产游径产学</w:t>
            </w:r>
            <w:proofErr w:type="gramEnd"/>
            <w:r>
              <w:rPr>
                <w:rFonts w:ascii="宋体" w:hAnsi="宋体" w:cs="宋体" w:hint="eastAsia"/>
                <w:color w:val="000000"/>
                <w:kern w:val="0"/>
                <w:sz w:val="24"/>
                <w:lang w:bidi="ar"/>
              </w:rPr>
              <w:t>融合研究-以南粤古驿道文化</w:t>
            </w:r>
            <w:proofErr w:type="gramStart"/>
            <w:r>
              <w:rPr>
                <w:rFonts w:ascii="宋体" w:hAnsi="宋体" w:cs="宋体" w:hint="eastAsia"/>
                <w:color w:val="000000"/>
                <w:kern w:val="0"/>
                <w:sz w:val="24"/>
                <w:lang w:bidi="ar"/>
              </w:rPr>
              <w:t>遗产游径为例</w:t>
            </w:r>
            <w:proofErr w:type="gramEnd"/>
          </w:p>
        </w:tc>
        <w:tc>
          <w:tcPr>
            <w:tcW w:w="1364" w:type="dxa"/>
            <w:tcBorders>
              <w:top w:val="nil"/>
              <w:left w:val="nil"/>
              <w:bottom w:val="single" w:sz="4" w:space="0" w:color="auto"/>
              <w:right w:val="single" w:sz="4" w:space="0" w:color="auto"/>
            </w:tcBorders>
            <w:shd w:val="clear" w:color="000000" w:fill="FFFFFF"/>
            <w:vAlign w:val="center"/>
          </w:tcPr>
          <w:p w14:paraId="3BEA8090" w14:textId="77777777" w:rsidR="00A33E32" w:rsidRDefault="00000000">
            <w:pPr>
              <w:widowControl/>
              <w:jc w:val="center"/>
              <w:textAlignment w:val="center"/>
              <w:rPr>
                <w:sz w:val="22"/>
                <w:szCs w:val="22"/>
              </w:rPr>
            </w:pPr>
            <w:r>
              <w:rPr>
                <w:rFonts w:ascii="宋体" w:hAnsi="宋体" w:cs="宋体" w:hint="eastAsia"/>
                <w:color w:val="000000"/>
                <w:kern w:val="0"/>
                <w:sz w:val="22"/>
                <w:szCs w:val="22"/>
                <w:lang w:bidi="ar"/>
              </w:rPr>
              <w:t>孙月</w:t>
            </w:r>
          </w:p>
        </w:tc>
        <w:tc>
          <w:tcPr>
            <w:tcW w:w="1886" w:type="dxa"/>
            <w:tcBorders>
              <w:top w:val="nil"/>
              <w:left w:val="nil"/>
              <w:bottom w:val="single" w:sz="4" w:space="0" w:color="auto"/>
              <w:right w:val="single" w:sz="4" w:space="0" w:color="auto"/>
            </w:tcBorders>
            <w:shd w:val="clear" w:color="000000" w:fill="FFFFFF"/>
            <w:vAlign w:val="center"/>
          </w:tcPr>
          <w:p w14:paraId="2E52DDF8" w14:textId="77777777" w:rsidR="00A33E32" w:rsidRDefault="00000000">
            <w:pPr>
              <w:widowControl/>
              <w:jc w:val="center"/>
              <w:textAlignment w:val="center"/>
              <w:rPr>
                <w:sz w:val="22"/>
                <w:szCs w:val="22"/>
              </w:rPr>
            </w:pPr>
            <w:r>
              <w:rPr>
                <w:rFonts w:ascii="宋体" w:hAnsi="宋体" w:cs="宋体" w:hint="eastAsia"/>
                <w:color w:val="000000"/>
                <w:kern w:val="0"/>
                <w:sz w:val="24"/>
                <w:lang w:bidi="ar"/>
              </w:rPr>
              <w:t>艺术设计与创意产业系</w:t>
            </w:r>
          </w:p>
        </w:tc>
      </w:tr>
      <w:tr w:rsidR="00A33E32" w14:paraId="3B81D837"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5573FC1C"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50" w:type="dxa"/>
            <w:tcBorders>
              <w:top w:val="single" w:sz="4" w:space="0" w:color="auto"/>
              <w:left w:val="single" w:sz="4" w:space="0" w:color="auto"/>
              <w:bottom w:val="single" w:sz="4" w:space="0" w:color="auto"/>
              <w:right w:val="single" w:sz="4" w:space="0" w:color="auto"/>
            </w:tcBorders>
            <w:vAlign w:val="center"/>
          </w:tcPr>
          <w:p w14:paraId="5D9BAE90"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3:40</w:t>
            </w:r>
            <w:r>
              <w:rPr>
                <w:rFonts w:ascii="宋体" w:hAnsi="宋体" w:cs="宋体"/>
                <w:color w:val="000000"/>
                <w:kern w:val="0"/>
                <w:sz w:val="22"/>
                <w:szCs w:val="22"/>
              </w:rPr>
              <w:t>-1</w:t>
            </w:r>
            <w:r>
              <w:rPr>
                <w:rFonts w:ascii="宋体" w:hAnsi="宋体" w:cs="宋体" w:hint="eastAsia"/>
                <w:color w:val="000000"/>
                <w:kern w:val="0"/>
                <w:sz w:val="22"/>
                <w:szCs w:val="22"/>
              </w:rPr>
              <w:t>4:0</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3884B5D6" w14:textId="77777777" w:rsidR="00A33E32" w:rsidRDefault="00000000">
            <w:pPr>
              <w:widowControl/>
              <w:jc w:val="center"/>
              <w:textAlignment w:val="center"/>
              <w:rPr>
                <w:rFonts w:ascii="宋体" w:hAnsi="宋体"/>
                <w:color w:val="000000"/>
                <w:sz w:val="22"/>
                <w:szCs w:val="22"/>
              </w:rPr>
            </w:pPr>
            <w:r>
              <w:rPr>
                <w:rFonts w:ascii="宋体" w:hAnsi="宋体" w:cs="宋体" w:hint="eastAsia"/>
                <w:color w:val="000000"/>
                <w:kern w:val="0"/>
                <w:sz w:val="24"/>
                <w:lang w:bidi="ar"/>
              </w:rPr>
              <w:t>5G时代粤港澳大湾区新型蓝领招聘平台研究与开发</w:t>
            </w:r>
          </w:p>
        </w:tc>
        <w:tc>
          <w:tcPr>
            <w:tcW w:w="1364" w:type="dxa"/>
            <w:tcBorders>
              <w:top w:val="single" w:sz="4" w:space="0" w:color="auto"/>
              <w:left w:val="nil"/>
              <w:bottom w:val="single" w:sz="4" w:space="0" w:color="auto"/>
              <w:right w:val="single" w:sz="4" w:space="0" w:color="auto"/>
            </w:tcBorders>
            <w:shd w:val="clear" w:color="000000" w:fill="FFFFFF"/>
            <w:vAlign w:val="center"/>
          </w:tcPr>
          <w:p w14:paraId="56409F51" w14:textId="77777777" w:rsidR="00A33E32" w:rsidRDefault="00000000">
            <w:pPr>
              <w:widowControl/>
              <w:jc w:val="center"/>
              <w:textAlignment w:val="center"/>
              <w:rPr>
                <w:sz w:val="22"/>
                <w:szCs w:val="22"/>
              </w:rPr>
            </w:pPr>
            <w:r>
              <w:rPr>
                <w:rFonts w:ascii="宋体" w:hAnsi="宋体" w:cs="宋体" w:hint="eastAsia"/>
                <w:color w:val="000000"/>
                <w:kern w:val="0"/>
                <w:sz w:val="22"/>
                <w:szCs w:val="22"/>
                <w:lang w:bidi="ar"/>
              </w:rPr>
              <w:t>罗娟</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082CD8B2" w14:textId="77777777" w:rsidR="00A33E32" w:rsidRDefault="00000000">
            <w:pPr>
              <w:widowControl/>
              <w:jc w:val="center"/>
              <w:textAlignment w:val="center"/>
              <w:rPr>
                <w:sz w:val="22"/>
                <w:szCs w:val="22"/>
              </w:rPr>
            </w:pPr>
            <w:r>
              <w:rPr>
                <w:rFonts w:ascii="宋体" w:hAnsi="宋体" w:cs="宋体" w:hint="eastAsia"/>
                <w:color w:val="000000"/>
                <w:kern w:val="0"/>
                <w:sz w:val="24"/>
                <w:lang w:bidi="ar"/>
              </w:rPr>
              <w:t>文学与传媒学院</w:t>
            </w:r>
          </w:p>
        </w:tc>
      </w:tr>
      <w:tr w:rsidR="00A33E32" w14:paraId="777FC465"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7F508E9E"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50" w:type="dxa"/>
            <w:tcBorders>
              <w:top w:val="single" w:sz="4" w:space="0" w:color="auto"/>
              <w:left w:val="single" w:sz="4" w:space="0" w:color="auto"/>
              <w:bottom w:val="single" w:sz="4" w:space="0" w:color="auto"/>
              <w:right w:val="single" w:sz="4" w:space="0" w:color="auto"/>
            </w:tcBorders>
            <w:vAlign w:val="center"/>
          </w:tcPr>
          <w:p w14:paraId="507C3F08"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14:00-14:20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498AE4A8" w14:textId="77777777" w:rsidR="00A33E32" w:rsidRDefault="00000000">
            <w:pPr>
              <w:widowControl/>
              <w:jc w:val="center"/>
              <w:textAlignment w:val="center"/>
              <w:rPr>
                <w:rFonts w:ascii="宋体" w:hAnsi="宋体"/>
                <w:color w:val="000000"/>
                <w:sz w:val="22"/>
                <w:szCs w:val="22"/>
              </w:rPr>
            </w:pPr>
            <w:r>
              <w:rPr>
                <w:rFonts w:ascii="宋体" w:hAnsi="宋体" w:cs="宋体" w:hint="eastAsia"/>
                <w:color w:val="000000"/>
                <w:kern w:val="0"/>
                <w:sz w:val="24"/>
                <w:lang w:bidi="ar"/>
              </w:rPr>
              <w:t>一带一路机遇下区块链技术对粤港澳大湾区扩大跨境电商與生产性服务外包创新之研究</w:t>
            </w:r>
          </w:p>
        </w:tc>
        <w:tc>
          <w:tcPr>
            <w:tcW w:w="1364" w:type="dxa"/>
            <w:tcBorders>
              <w:top w:val="nil"/>
              <w:left w:val="nil"/>
              <w:bottom w:val="single" w:sz="4" w:space="0" w:color="auto"/>
              <w:right w:val="single" w:sz="4" w:space="0" w:color="auto"/>
            </w:tcBorders>
            <w:shd w:val="clear" w:color="000000" w:fill="FFFFFF"/>
            <w:vAlign w:val="center"/>
          </w:tcPr>
          <w:p w14:paraId="7072D732" w14:textId="77777777" w:rsidR="00A33E32" w:rsidRDefault="00000000">
            <w:pPr>
              <w:widowControl/>
              <w:jc w:val="center"/>
              <w:textAlignment w:val="center"/>
              <w:rPr>
                <w:sz w:val="22"/>
                <w:szCs w:val="22"/>
              </w:rPr>
            </w:pPr>
            <w:r>
              <w:rPr>
                <w:rFonts w:ascii="宋体" w:hAnsi="宋体" w:cs="宋体" w:hint="eastAsia"/>
                <w:color w:val="000000"/>
                <w:kern w:val="0"/>
                <w:sz w:val="24"/>
                <w:lang w:bidi="ar"/>
              </w:rPr>
              <w:t>林学宏</w:t>
            </w:r>
          </w:p>
        </w:tc>
        <w:tc>
          <w:tcPr>
            <w:tcW w:w="1886" w:type="dxa"/>
            <w:tcBorders>
              <w:top w:val="nil"/>
              <w:left w:val="nil"/>
              <w:bottom w:val="single" w:sz="4" w:space="0" w:color="auto"/>
              <w:right w:val="single" w:sz="4" w:space="0" w:color="auto"/>
            </w:tcBorders>
            <w:shd w:val="clear" w:color="000000" w:fill="FFFFFF"/>
            <w:vAlign w:val="center"/>
          </w:tcPr>
          <w:p w14:paraId="00B69506" w14:textId="77777777" w:rsidR="00A33E32" w:rsidRDefault="00000000">
            <w:pPr>
              <w:widowControl/>
              <w:jc w:val="center"/>
              <w:textAlignment w:val="center"/>
              <w:rPr>
                <w:sz w:val="22"/>
                <w:szCs w:val="22"/>
              </w:rPr>
            </w:pPr>
            <w:r>
              <w:rPr>
                <w:rFonts w:ascii="宋体" w:hAnsi="宋体" w:cs="宋体" w:hint="eastAsia"/>
                <w:color w:val="000000"/>
                <w:kern w:val="0"/>
                <w:sz w:val="24"/>
                <w:lang w:bidi="ar"/>
              </w:rPr>
              <w:t>商学院</w:t>
            </w:r>
          </w:p>
        </w:tc>
      </w:tr>
      <w:tr w:rsidR="00A33E32" w14:paraId="7A8C01F8"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7B9E3FE3"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50" w:type="dxa"/>
            <w:tcBorders>
              <w:top w:val="single" w:sz="4" w:space="0" w:color="auto"/>
              <w:left w:val="single" w:sz="4" w:space="0" w:color="auto"/>
              <w:bottom w:val="single" w:sz="4" w:space="0" w:color="auto"/>
              <w:right w:val="single" w:sz="4" w:space="0" w:color="auto"/>
            </w:tcBorders>
            <w:vAlign w:val="center"/>
          </w:tcPr>
          <w:p w14:paraId="0105F41C"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4:2</w:t>
            </w:r>
            <w:r>
              <w:rPr>
                <w:rFonts w:ascii="宋体" w:hAnsi="宋体" w:cs="宋体"/>
                <w:color w:val="000000"/>
                <w:kern w:val="0"/>
                <w:sz w:val="22"/>
                <w:szCs w:val="22"/>
              </w:rPr>
              <w:t>0-1</w:t>
            </w:r>
            <w:r>
              <w:rPr>
                <w:rFonts w:ascii="宋体" w:hAnsi="宋体" w:cs="宋体" w:hint="eastAsia"/>
                <w:color w:val="000000"/>
                <w:kern w:val="0"/>
                <w:sz w:val="22"/>
                <w:szCs w:val="22"/>
              </w:rPr>
              <w:t>4:40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5C728766"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康复性景观视角下的田园乡愁：从化特色小镇的旅游发展</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0C13ADC" w14:textId="77777777" w:rsidR="00A33E32" w:rsidRDefault="00000000">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黄力远</w:t>
            </w:r>
            <w:proofErr w:type="gramEnd"/>
          </w:p>
        </w:tc>
        <w:tc>
          <w:tcPr>
            <w:tcW w:w="1886" w:type="dxa"/>
            <w:tcBorders>
              <w:top w:val="single" w:sz="4" w:space="0" w:color="auto"/>
              <w:left w:val="nil"/>
              <w:bottom w:val="single" w:sz="4" w:space="0" w:color="auto"/>
              <w:right w:val="single" w:sz="4" w:space="0" w:color="auto"/>
            </w:tcBorders>
            <w:shd w:val="clear" w:color="000000" w:fill="FFFFFF"/>
            <w:vAlign w:val="center"/>
          </w:tcPr>
          <w:p w14:paraId="7FFBD0F3"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商学院</w:t>
            </w:r>
          </w:p>
        </w:tc>
      </w:tr>
      <w:tr w:rsidR="00A33E32" w14:paraId="680B97FA"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6834857F" w14:textId="77777777" w:rsidR="00A33E32"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50" w:type="dxa"/>
            <w:tcBorders>
              <w:top w:val="single" w:sz="4" w:space="0" w:color="auto"/>
              <w:left w:val="single" w:sz="4" w:space="0" w:color="auto"/>
              <w:bottom w:val="single" w:sz="4" w:space="0" w:color="auto"/>
              <w:right w:val="single" w:sz="4" w:space="0" w:color="auto"/>
            </w:tcBorders>
            <w:vAlign w:val="center"/>
          </w:tcPr>
          <w:p w14:paraId="41F24376"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4:40</w:t>
            </w:r>
            <w:r>
              <w:rPr>
                <w:rFonts w:ascii="宋体" w:hAnsi="宋体" w:cs="宋体"/>
                <w:color w:val="000000"/>
                <w:kern w:val="0"/>
                <w:sz w:val="22"/>
                <w:szCs w:val="22"/>
              </w:rPr>
              <w:t>-1</w:t>
            </w:r>
            <w:r>
              <w:rPr>
                <w:rFonts w:ascii="宋体" w:hAnsi="宋体" w:cs="宋体" w:hint="eastAsia"/>
                <w:color w:val="000000"/>
                <w:kern w:val="0"/>
                <w:sz w:val="22"/>
                <w:szCs w:val="22"/>
              </w:rPr>
              <w:t>5:0</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0612D60B"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民办高校卓越政商人才培养研究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1BAA251C"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史卫</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695E7717"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政商研究院</w:t>
            </w:r>
          </w:p>
        </w:tc>
      </w:tr>
      <w:tr w:rsidR="00A33E32" w14:paraId="79EDFEB9"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1FD23DDF"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50" w:type="dxa"/>
            <w:tcBorders>
              <w:top w:val="single" w:sz="4" w:space="0" w:color="auto"/>
              <w:left w:val="single" w:sz="4" w:space="0" w:color="auto"/>
              <w:bottom w:val="single" w:sz="4" w:space="0" w:color="auto"/>
              <w:right w:val="single" w:sz="4" w:space="0" w:color="auto"/>
            </w:tcBorders>
            <w:vAlign w:val="center"/>
          </w:tcPr>
          <w:p w14:paraId="5F9C44A3"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5:0</w:t>
            </w:r>
            <w:r>
              <w:rPr>
                <w:rFonts w:ascii="宋体" w:hAnsi="宋体" w:cs="宋体"/>
                <w:color w:val="000000"/>
                <w:kern w:val="0"/>
                <w:sz w:val="22"/>
                <w:szCs w:val="22"/>
              </w:rPr>
              <w:t>0-1</w:t>
            </w:r>
            <w:r>
              <w:rPr>
                <w:rFonts w:ascii="宋体" w:hAnsi="宋体" w:cs="宋体" w:hint="eastAsia"/>
                <w:color w:val="000000"/>
                <w:kern w:val="0"/>
                <w:sz w:val="22"/>
                <w:szCs w:val="22"/>
              </w:rPr>
              <w:t>5:2</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09021D00"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粤港澳大湾区企业</w:t>
            </w:r>
            <w:proofErr w:type="gramStart"/>
            <w:r>
              <w:rPr>
                <w:rFonts w:ascii="宋体" w:hAnsi="宋体" w:cs="宋体" w:hint="eastAsia"/>
                <w:color w:val="000000"/>
                <w:kern w:val="0"/>
                <w:sz w:val="24"/>
                <w:lang w:bidi="ar"/>
              </w:rPr>
              <w:t>用能权交易</w:t>
            </w:r>
            <w:proofErr w:type="gramEnd"/>
            <w:r>
              <w:rPr>
                <w:rFonts w:ascii="宋体" w:hAnsi="宋体" w:cs="宋体" w:hint="eastAsia"/>
                <w:color w:val="000000"/>
                <w:kern w:val="0"/>
                <w:sz w:val="24"/>
                <w:lang w:bidi="ar"/>
              </w:rPr>
              <w:t>机制研究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11F3F2D"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张媛</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16C76157"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会计学院</w:t>
            </w:r>
          </w:p>
        </w:tc>
      </w:tr>
      <w:tr w:rsidR="00A33E32" w14:paraId="43BDE1A7"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3A520149"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50" w:type="dxa"/>
            <w:tcBorders>
              <w:top w:val="single" w:sz="4" w:space="0" w:color="auto"/>
              <w:left w:val="single" w:sz="4" w:space="0" w:color="auto"/>
              <w:bottom w:val="single" w:sz="4" w:space="0" w:color="auto"/>
              <w:right w:val="single" w:sz="4" w:space="0" w:color="auto"/>
            </w:tcBorders>
            <w:vAlign w:val="center"/>
          </w:tcPr>
          <w:p w14:paraId="77080D95"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5:2</w:t>
            </w:r>
            <w:r>
              <w:rPr>
                <w:rFonts w:ascii="宋体" w:hAnsi="宋体" w:cs="宋体"/>
                <w:color w:val="000000"/>
                <w:kern w:val="0"/>
                <w:sz w:val="22"/>
                <w:szCs w:val="22"/>
              </w:rPr>
              <w:t>0-1</w:t>
            </w:r>
            <w:r>
              <w:rPr>
                <w:rFonts w:ascii="宋体" w:hAnsi="宋体" w:cs="宋体" w:hint="eastAsia"/>
                <w:color w:val="000000"/>
                <w:kern w:val="0"/>
                <w:sz w:val="22"/>
                <w:szCs w:val="22"/>
              </w:rPr>
              <w:t>5:4</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0AFDF296"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人工智能驱动的金融机构风险管理框架研究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4B5015DF"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胡光华</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5A63DA63"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会计学院</w:t>
            </w:r>
          </w:p>
        </w:tc>
      </w:tr>
      <w:tr w:rsidR="00A33E32" w14:paraId="12B1F50F"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6686ADC4"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50" w:type="dxa"/>
            <w:tcBorders>
              <w:top w:val="single" w:sz="4" w:space="0" w:color="auto"/>
              <w:left w:val="single" w:sz="4" w:space="0" w:color="auto"/>
              <w:bottom w:val="single" w:sz="4" w:space="0" w:color="auto"/>
              <w:right w:val="single" w:sz="4" w:space="0" w:color="auto"/>
            </w:tcBorders>
            <w:vAlign w:val="center"/>
          </w:tcPr>
          <w:p w14:paraId="57C519D5"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5:4</w:t>
            </w:r>
            <w:r>
              <w:rPr>
                <w:rFonts w:ascii="宋体" w:hAnsi="宋体" w:cs="宋体"/>
                <w:color w:val="000000"/>
                <w:kern w:val="0"/>
                <w:sz w:val="22"/>
                <w:szCs w:val="22"/>
              </w:rPr>
              <w:t>0-1</w:t>
            </w:r>
            <w:r>
              <w:rPr>
                <w:rFonts w:ascii="宋体" w:hAnsi="宋体" w:cs="宋体" w:hint="eastAsia"/>
                <w:color w:val="000000"/>
                <w:kern w:val="0"/>
                <w:sz w:val="22"/>
                <w:szCs w:val="22"/>
              </w:rPr>
              <w:t>6:0</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3F7CF438"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“后疫情时代”粤港澳大湾区生鲜电商企业新零售模式创新路径研究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7B1DB24"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高凯</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3D30C2E7"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商学院</w:t>
            </w:r>
          </w:p>
        </w:tc>
      </w:tr>
      <w:tr w:rsidR="00A33E32" w14:paraId="6EB58718"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5012EB75"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50" w:type="dxa"/>
            <w:tcBorders>
              <w:top w:val="single" w:sz="4" w:space="0" w:color="auto"/>
              <w:left w:val="single" w:sz="4" w:space="0" w:color="auto"/>
              <w:bottom w:val="single" w:sz="4" w:space="0" w:color="auto"/>
              <w:right w:val="single" w:sz="4" w:space="0" w:color="auto"/>
            </w:tcBorders>
            <w:vAlign w:val="center"/>
          </w:tcPr>
          <w:p w14:paraId="00DFCB63"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16:00-16:20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248A4D50"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广东省全面深化改革进程中探求民意最大公约数的困境与路径研究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68C4C051" w14:textId="77777777" w:rsidR="00A33E32" w:rsidRDefault="00000000">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张由菊</w:t>
            </w:r>
            <w:proofErr w:type="gramEnd"/>
          </w:p>
        </w:tc>
        <w:tc>
          <w:tcPr>
            <w:tcW w:w="1886" w:type="dxa"/>
            <w:tcBorders>
              <w:top w:val="single" w:sz="4" w:space="0" w:color="auto"/>
              <w:left w:val="nil"/>
              <w:bottom w:val="single" w:sz="4" w:space="0" w:color="auto"/>
              <w:right w:val="single" w:sz="4" w:space="0" w:color="auto"/>
            </w:tcBorders>
            <w:shd w:val="clear" w:color="000000" w:fill="FFFFFF"/>
            <w:vAlign w:val="center"/>
          </w:tcPr>
          <w:p w14:paraId="5F12C8FD"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马克思主义学院</w:t>
            </w:r>
          </w:p>
        </w:tc>
      </w:tr>
      <w:tr w:rsidR="00A33E32" w14:paraId="610D5DBD"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450CA738"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50" w:type="dxa"/>
            <w:tcBorders>
              <w:top w:val="single" w:sz="4" w:space="0" w:color="auto"/>
              <w:left w:val="single" w:sz="4" w:space="0" w:color="auto"/>
              <w:bottom w:val="single" w:sz="4" w:space="0" w:color="auto"/>
              <w:right w:val="single" w:sz="4" w:space="0" w:color="auto"/>
            </w:tcBorders>
            <w:vAlign w:val="center"/>
          </w:tcPr>
          <w:p w14:paraId="1177E0CB"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6:2</w:t>
            </w:r>
            <w:r>
              <w:rPr>
                <w:rFonts w:ascii="宋体" w:hAnsi="宋体" w:cs="宋体"/>
                <w:color w:val="000000"/>
                <w:kern w:val="0"/>
                <w:sz w:val="22"/>
                <w:szCs w:val="22"/>
              </w:rPr>
              <w:t>0-1</w:t>
            </w:r>
            <w:r>
              <w:rPr>
                <w:rFonts w:ascii="宋体" w:hAnsi="宋体" w:cs="宋体" w:hint="eastAsia"/>
                <w:color w:val="000000"/>
                <w:kern w:val="0"/>
                <w:sz w:val="22"/>
                <w:szCs w:val="22"/>
              </w:rPr>
              <w:t>6:40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3EF7903B"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基于PDCA循环理论的第三语言教学质量监控机制研究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A650206"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张弛</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500B6ACF"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外国语学院</w:t>
            </w:r>
          </w:p>
        </w:tc>
      </w:tr>
      <w:tr w:rsidR="00A33E32" w14:paraId="0E55EC8A" w14:textId="77777777">
        <w:trPr>
          <w:trHeight w:val="363"/>
        </w:trPr>
        <w:tc>
          <w:tcPr>
            <w:tcW w:w="10160" w:type="dxa"/>
            <w:gridSpan w:val="5"/>
            <w:tcBorders>
              <w:top w:val="single" w:sz="4" w:space="0" w:color="auto"/>
              <w:left w:val="single" w:sz="4" w:space="0" w:color="auto"/>
              <w:bottom w:val="single" w:sz="4" w:space="0" w:color="auto"/>
              <w:right w:val="single" w:sz="4" w:space="0" w:color="auto"/>
            </w:tcBorders>
            <w:vAlign w:val="center"/>
          </w:tcPr>
          <w:p w14:paraId="58D213FE" w14:textId="77777777" w:rsidR="00A33E32"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休息时间</w:t>
            </w:r>
          </w:p>
        </w:tc>
      </w:tr>
      <w:tr w:rsidR="00A33E32" w14:paraId="03D7BC9D"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116027E0"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50" w:type="dxa"/>
            <w:tcBorders>
              <w:top w:val="single" w:sz="4" w:space="0" w:color="auto"/>
              <w:left w:val="single" w:sz="4" w:space="0" w:color="auto"/>
              <w:bottom w:val="single" w:sz="4" w:space="0" w:color="auto"/>
              <w:right w:val="single" w:sz="4" w:space="0" w:color="auto"/>
            </w:tcBorders>
            <w:vAlign w:val="center"/>
          </w:tcPr>
          <w:p w14:paraId="30E689A1"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7:0</w:t>
            </w:r>
            <w:r>
              <w:rPr>
                <w:rFonts w:ascii="宋体" w:hAnsi="宋体" w:cs="宋体"/>
                <w:color w:val="000000"/>
                <w:kern w:val="0"/>
                <w:sz w:val="22"/>
                <w:szCs w:val="22"/>
              </w:rPr>
              <w:t>0-1</w:t>
            </w:r>
            <w:r>
              <w:rPr>
                <w:rFonts w:ascii="宋体" w:hAnsi="宋体" w:cs="宋体" w:hint="eastAsia"/>
                <w:color w:val="000000"/>
                <w:kern w:val="0"/>
                <w:sz w:val="22"/>
                <w:szCs w:val="22"/>
              </w:rPr>
              <w:t>7:2</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173AA362" w14:textId="77777777" w:rsidR="00A33E32" w:rsidRDefault="00000000">
            <w:pPr>
              <w:widowControl/>
              <w:jc w:val="center"/>
              <w:textAlignment w:val="center"/>
            </w:pPr>
            <w:r>
              <w:rPr>
                <w:rFonts w:ascii="宋体" w:hAnsi="宋体" w:cs="宋体" w:hint="eastAsia"/>
                <w:color w:val="000000"/>
                <w:kern w:val="0"/>
                <w:sz w:val="24"/>
                <w:lang w:bidi="ar"/>
              </w:rPr>
              <w:t>基于MOF材料的核酸</w:t>
            </w:r>
            <w:proofErr w:type="gramStart"/>
            <w:r>
              <w:rPr>
                <w:rFonts w:ascii="宋体" w:hAnsi="宋体" w:cs="宋体" w:hint="eastAsia"/>
                <w:color w:val="000000"/>
                <w:kern w:val="0"/>
                <w:sz w:val="24"/>
                <w:lang w:bidi="ar"/>
              </w:rPr>
              <w:t>适</w:t>
            </w:r>
            <w:proofErr w:type="gramEnd"/>
            <w:r>
              <w:rPr>
                <w:rFonts w:ascii="宋体" w:hAnsi="宋体" w:cs="宋体" w:hint="eastAsia"/>
                <w:color w:val="000000"/>
                <w:kern w:val="0"/>
                <w:sz w:val="24"/>
                <w:lang w:bidi="ar"/>
              </w:rPr>
              <w:t>配体电化学生物传感器制备及其前列腺癌细胞外</w:t>
            </w:r>
            <w:proofErr w:type="gramStart"/>
            <w:r>
              <w:rPr>
                <w:rFonts w:ascii="宋体" w:hAnsi="宋体" w:cs="宋体" w:hint="eastAsia"/>
                <w:color w:val="000000"/>
                <w:kern w:val="0"/>
                <w:sz w:val="24"/>
                <w:lang w:bidi="ar"/>
              </w:rPr>
              <w:t>泌</w:t>
            </w:r>
            <w:proofErr w:type="gramEnd"/>
            <w:r>
              <w:rPr>
                <w:rFonts w:ascii="宋体" w:hAnsi="宋体" w:cs="宋体" w:hint="eastAsia"/>
                <w:color w:val="000000"/>
                <w:kern w:val="0"/>
                <w:sz w:val="24"/>
                <w:lang w:bidi="ar"/>
              </w:rPr>
              <w:t>体的检测应用</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F9A9B6D" w14:textId="77777777" w:rsidR="00A33E32" w:rsidRDefault="00000000">
            <w:pPr>
              <w:widowControl/>
              <w:jc w:val="center"/>
              <w:textAlignment w:val="center"/>
            </w:pPr>
            <w:proofErr w:type="gramStart"/>
            <w:r>
              <w:rPr>
                <w:rFonts w:ascii="宋体" w:hAnsi="宋体" w:cs="宋体" w:hint="eastAsia"/>
                <w:color w:val="000000"/>
                <w:kern w:val="0"/>
                <w:sz w:val="24"/>
                <w:lang w:bidi="ar"/>
              </w:rPr>
              <w:t>莫名月</w:t>
            </w:r>
            <w:proofErr w:type="gramEnd"/>
          </w:p>
        </w:tc>
        <w:tc>
          <w:tcPr>
            <w:tcW w:w="1886" w:type="dxa"/>
            <w:tcBorders>
              <w:top w:val="single" w:sz="4" w:space="0" w:color="auto"/>
              <w:left w:val="nil"/>
              <w:bottom w:val="single" w:sz="4" w:space="0" w:color="auto"/>
              <w:right w:val="single" w:sz="4" w:space="0" w:color="auto"/>
            </w:tcBorders>
            <w:shd w:val="clear" w:color="000000" w:fill="FFFFFF"/>
            <w:vAlign w:val="center"/>
          </w:tcPr>
          <w:p w14:paraId="2949809C" w14:textId="77777777" w:rsidR="00A33E32" w:rsidRDefault="00000000">
            <w:pPr>
              <w:widowControl/>
              <w:jc w:val="center"/>
              <w:textAlignment w:val="center"/>
            </w:pPr>
            <w:r>
              <w:rPr>
                <w:rFonts w:ascii="宋体" w:hAnsi="宋体" w:cs="宋体" w:hint="eastAsia"/>
                <w:color w:val="000000"/>
                <w:kern w:val="0"/>
                <w:sz w:val="24"/>
                <w:lang w:bidi="ar"/>
              </w:rPr>
              <w:t>云康医学与健康管理学院</w:t>
            </w:r>
          </w:p>
        </w:tc>
      </w:tr>
      <w:tr w:rsidR="00A33E32" w14:paraId="13C2B35E"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066B81A5"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50" w:type="dxa"/>
            <w:tcBorders>
              <w:top w:val="single" w:sz="4" w:space="0" w:color="auto"/>
              <w:left w:val="single" w:sz="4" w:space="0" w:color="auto"/>
              <w:bottom w:val="single" w:sz="4" w:space="0" w:color="auto"/>
              <w:right w:val="single" w:sz="4" w:space="0" w:color="auto"/>
            </w:tcBorders>
            <w:vAlign w:val="center"/>
          </w:tcPr>
          <w:p w14:paraId="655949AA"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7:2</w:t>
            </w:r>
            <w:r>
              <w:rPr>
                <w:rFonts w:ascii="宋体" w:hAnsi="宋体" w:cs="宋体"/>
                <w:color w:val="000000"/>
                <w:kern w:val="0"/>
                <w:sz w:val="22"/>
                <w:szCs w:val="22"/>
              </w:rPr>
              <w:t>0-1</w:t>
            </w:r>
            <w:r>
              <w:rPr>
                <w:rFonts w:ascii="宋体" w:hAnsi="宋体" w:cs="宋体" w:hint="eastAsia"/>
                <w:color w:val="000000"/>
                <w:kern w:val="0"/>
                <w:sz w:val="22"/>
                <w:szCs w:val="22"/>
              </w:rPr>
              <w:t>7:4</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2D6BFDD6" w14:textId="77777777" w:rsidR="00A33E32" w:rsidRDefault="00000000">
            <w:pPr>
              <w:widowControl/>
              <w:jc w:val="center"/>
              <w:textAlignment w:val="center"/>
              <w:rPr>
                <w:rFonts w:ascii="宋体" w:hAnsi="宋体"/>
                <w:color w:val="000000"/>
                <w:sz w:val="22"/>
                <w:szCs w:val="22"/>
              </w:rPr>
            </w:pPr>
            <w:r>
              <w:rPr>
                <w:rFonts w:ascii="宋体" w:hAnsi="宋体" w:cs="宋体" w:hint="eastAsia"/>
                <w:color w:val="000000"/>
                <w:kern w:val="0"/>
                <w:sz w:val="24"/>
                <w:lang w:bidi="ar"/>
              </w:rPr>
              <w:t>基于基片集成波导双频天线的理论设计与技术研究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22F5D6FB" w14:textId="77777777" w:rsidR="00A33E32" w:rsidRDefault="00000000">
            <w:pPr>
              <w:widowControl/>
              <w:jc w:val="center"/>
              <w:textAlignment w:val="center"/>
            </w:pPr>
            <w:r>
              <w:rPr>
                <w:rFonts w:ascii="宋体" w:hAnsi="宋体" w:cs="宋体" w:hint="eastAsia"/>
                <w:color w:val="000000"/>
                <w:kern w:val="0"/>
                <w:sz w:val="24"/>
                <w:lang w:bidi="ar"/>
              </w:rPr>
              <w:t>邓秋君</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4C4525A9" w14:textId="77777777" w:rsidR="00A33E32" w:rsidRDefault="00000000">
            <w:pPr>
              <w:widowControl/>
              <w:jc w:val="center"/>
              <w:textAlignment w:val="center"/>
            </w:pPr>
            <w:r>
              <w:rPr>
                <w:rFonts w:ascii="宋体" w:hAnsi="宋体" w:cs="宋体" w:hint="eastAsia"/>
                <w:color w:val="000000"/>
                <w:kern w:val="0"/>
                <w:sz w:val="24"/>
                <w:lang w:bidi="ar"/>
              </w:rPr>
              <w:t>电气与计算机工程学院</w:t>
            </w:r>
          </w:p>
        </w:tc>
      </w:tr>
      <w:tr w:rsidR="00A33E32" w14:paraId="546CE7A9"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2F67D100"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50" w:type="dxa"/>
            <w:tcBorders>
              <w:top w:val="single" w:sz="4" w:space="0" w:color="auto"/>
              <w:left w:val="single" w:sz="4" w:space="0" w:color="auto"/>
              <w:bottom w:val="single" w:sz="4" w:space="0" w:color="auto"/>
              <w:right w:val="single" w:sz="4" w:space="0" w:color="auto"/>
            </w:tcBorders>
            <w:vAlign w:val="center"/>
          </w:tcPr>
          <w:p w14:paraId="3CC9BB27"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7:40</w:t>
            </w:r>
            <w:r>
              <w:rPr>
                <w:rFonts w:ascii="宋体" w:hAnsi="宋体" w:cs="宋体"/>
                <w:color w:val="000000"/>
                <w:kern w:val="0"/>
                <w:sz w:val="22"/>
                <w:szCs w:val="22"/>
              </w:rPr>
              <w:t>-1</w:t>
            </w:r>
            <w:r>
              <w:rPr>
                <w:rFonts w:ascii="宋体" w:hAnsi="宋体" w:cs="宋体" w:hint="eastAsia"/>
                <w:color w:val="000000"/>
                <w:kern w:val="0"/>
                <w:sz w:val="22"/>
                <w:szCs w:val="22"/>
              </w:rPr>
              <w:t>8:0</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221D8BF4" w14:textId="77777777" w:rsidR="00A33E32" w:rsidRDefault="00000000">
            <w:pPr>
              <w:widowControl/>
              <w:jc w:val="center"/>
              <w:textAlignment w:val="center"/>
              <w:rPr>
                <w:rFonts w:ascii="宋体" w:hAnsi="宋体"/>
                <w:color w:val="000000"/>
                <w:sz w:val="22"/>
                <w:szCs w:val="22"/>
              </w:rPr>
            </w:pPr>
            <w:r>
              <w:rPr>
                <w:rFonts w:ascii="宋体" w:hAnsi="宋体" w:cs="宋体" w:hint="eastAsia"/>
                <w:color w:val="000000"/>
                <w:kern w:val="0"/>
                <w:sz w:val="24"/>
                <w:lang w:bidi="ar"/>
              </w:rPr>
              <w:t>基于5G移动通信功率放大芯片的热可靠性优化研究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628EDFBD" w14:textId="77777777" w:rsidR="00A33E32" w:rsidRDefault="00000000">
            <w:pPr>
              <w:widowControl/>
              <w:jc w:val="center"/>
              <w:textAlignment w:val="center"/>
            </w:pPr>
            <w:r>
              <w:rPr>
                <w:rFonts w:ascii="宋体" w:hAnsi="宋体" w:cs="宋体" w:hint="eastAsia"/>
                <w:color w:val="000000"/>
                <w:kern w:val="0"/>
                <w:sz w:val="24"/>
                <w:lang w:bidi="ar"/>
              </w:rPr>
              <w:t>马渊博</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1E2A362C" w14:textId="77777777" w:rsidR="00A33E32" w:rsidRDefault="00000000">
            <w:pPr>
              <w:widowControl/>
              <w:jc w:val="center"/>
              <w:textAlignment w:val="center"/>
            </w:pPr>
            <w:r>
              <w:rPr>
                <w:rFonts w:ascii="宋体" w:hAnsi="宋体" w:cs="宋体" w:hint="eastAsia"/>
                <w:color w:val="000000"/>
                <w:kern w:val="0"/>
                <w:sz w:val="24"/>
                <w:lang w:bidi="ar"/>
              </w:rPr>
              <w:t>电气与计算机工程学院</w:t>
            </w:r>
          </w:p>
        </w:tc>
      </w:tr>
      <w:tr w:rsidR="00A33E32" w14:paraId="33CE0144"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710028A4" w14:textId="77777777" w:rsidR="00A33E32" w:rsidRDefault="000000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50" w:type="dxa"/>
            <w:tcBorders>
              <w:top w:val="single" w:sz="4" w:space="0" w:color="auto"/>
              <w:left w:val="single" w:sz="4" w:space="0" w:color="auto"/>
              <w:bottom w:val="single" w:sz="4" w:space="0" w:color="auto"/>
              <w:right w:val="single" w:sz="4" w:space="0" w:color="auto"/>
            </w:tcBorders>
            <w:vAlign w:val="center"/>
          </w:tcPr>
          <w:p w14:paraId="2E240B26" w14:textId="77777777" w:rsidR="00A33E32" w:rsidRDefault="00000000">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8:0</w:t>
            </w:r>
            <w:r>
              <w:rPr>
                <w:rFonts w:ascii="宋体" w:hAnsi="宋体" w:cs="宋体"/>
                <w:color w:val="000000"/>
                <w:kern w:val="0"/>
                <w:sz w:val="22"/>
                <w:szCs w:val="22"/>
              </w:rPr>
              <w:t>0-1</w:t>
            </w:r>
            <w:r>
              <w:rPr>
                <w:rFonts w:ascii="宋体" w:hAnsi="宋体" w:cs="宋体" w:hint="eastAsia"/>
                <w:color w:val="000000"/>
                <w:kern w:val="0"/>
                <w:sz w:val="22"/>
                <w:szCs w:val="22"/>
              </w:rPr>
              <w:t>8:2</w:t>
            </w:r>
            <w:r>
              <w:rPr>
                <w:rFonts w:ascii="宋体" w:hAnsi="宋体" w:cs="宋体"/>
                <w:color w:val="000000"/>
                <w:kern w:val="0"/>
                <w:sz w:val="22"/>
                <w:szCs w:val="22"/>
              </w:rPr>
              <w:t>0</w:t>
            </w:r>
          </w:p>
        </w:tc>
        <w:tc>
          <w:tcPr>
            <w:tcW w:w="4636" w:type="dxa"/>
            <w:tcBorders>
              <w:top w:val="single" w:sz="4" w:space="0" w:color="auto"/>
              <w:left w:val="single" w:sz="4" w:space="0" w:color="auto"/>
              <w:bottom w:val="single" w:sz="4" w:space="0" w:color="auto"/>
              <w:right w:val="single" w:sz="4" w:space="0" w:color="auto"/>
            </w:tcBorders>
            <w:shd w:val="clear" w:color="000000" w:fill="FFFFFF"/>
            <w:vAlign w:val="center"/>
          </w:tcPr>
          <w:p w14:paraId="37CC761D" w14:textId="77777777" w:rsidR="00A33E32" w:rsidRDefault="00000000">
            <w:pPr>
              <w:widowControl/>
              <w:jc w:val="center"/>
              <w:textAlignment w:val="center"/>
            </w:pPr>
            <w:r>
              <w:rPr>
                <w:rFonts w:ascii="宋体" w:hAnsi="宋体" w:cs="宋体" w:hint="eastAsia"/>
                <w:color w:val="000000"/>
                <w:kern w:val="0"/>
                <w:sz w:val="24"/>
                <w:lang w:bidi="ar"/>
              </w:rPr>
              <w:t>从Keapl-Nrf2/ARE信号通路探讨熊果酸对H2O2诱导乳鼠心肌细胞氧化应激损伤的保护作用及机制</w:t>
            </w:r>
          </w:p>
        </w:tc>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14:paraId="39DC110D" w14:textId="77777777" w:rsidR="00A33E32" w:rsidRDefault="00000000">
            <w:pPr>
              <w:widowControl/>
              <w:jc w:val="center"/>
              <w:textAlignment w:val="center"/>
            </w:pPr>
            <w:r>
              <w:rPr>
                <w:rFonts w:ascii="宋体" w:hAnsi="宋体" w:cs="宋体" w:hint="eastAsia"/>
                <w:color w:val="000000"/>
                <w:kern w:val="0"/>
                <w:sz w:val="24"/>
                <w:lang w:bidi="ar"/>
              </w:rPr>
              <w:t>李爱群</w:t>
            </w:r>
          </w:p>
        </w:tc>
        <w:tc>
          <w:tcPr>
            <w:tcW w:w="1886" w:type="dxa"/>
            <w:tcBorders>
              <w:top w:val="single" w:sz="4" w:space="0" w:color="auto"/>
              <w:left w:val="nil"/>
              <w:bottom w:val="single" w:sz="4" w:space="0" w:color="auto"/>
              <w:right w:val="single" w:sz="4" w:space="0" w:color="auto"/>
            </w:tcBorders>
            <w:shd w:val="clear" w:color="000000" w:fill="FFFFFF"/>
            <w:vAlign w:val="center"/>
          </w:tcPr>
          <w:p w14:paraId="4A86E362" w14:textId="77777777" w:rsidR="00A33E32" w:rsidRDefault="00000000">
            <w:pPr>
              <w:widowControl/>
              <w:jc w:val="center"/>
              <w:textAlignment w:val="center"/>
            </w:pPr>
            <w:r>
              <w:rPr>
                <w:rFonts w:ascii="宋体" w:hAnsi="宋体" w:cs="宋体" w:hint="eastAsia"/>
                <w:color w:val="000000"/>
                <w:kern w:val="0"/>
                <w:sz w:val="24"/>
                <w:lang w:bidi="ar"/>
              </w:rPr>
              <w:t>云康医学与健康管理学院</w:t>
            </w:r>
          </w:p>
        </w:tc>
      </w:tr>
    </w:tbl>
    <w:p w14:paraId="01135F4E" w14:textId="77777777" w:rsidR="00A33E32" w:rsidRDefault="00000000">
      <w:pPr>
        <w:rPr>
          <w:sz w:val="24"/>
        </w:rPr>
      </w:pPr>
      <w:r>
        <w:rPr>
          <w:rFonts w:hint="eastAsia"/>
          <w:sz w:val="24"/>
        </w:rPr>
        <w:t>备注：每个项目汇报时间为</w:t>
      </w:r>
      <w:r>
        <w:rPr>
          <w:rFonts w:hint="eastAsia"/>
          <w:b/>
          <w:color w:val="FF0000"/>
          <w:sz w:val="24"/>
        </w:rPr>
        <w:t>10</w:t>
      </w:r>
      <w:r>
        <w:rPr>
          <w:rFonts w:hint="eastAsia"/>
          <w:b/>
          <w:color w:val="FF0000"/>
          <w:sz w:val="24"/>
        </w:rPr>
        <w:t>分钟</w:t>
      </w:r>
      <w:r>
        <w:rPr>
          <w:rFonts w:hint="eastAsia"/>
          <w:sz w:val="24"/>
        </w:rPr>
        <w:t>，专家提问时间为</w:t>
      </w:r>
      <w:r>
        <w:rPr>
          <w:rFonts w:hint="eastAsia"/>
          <w:sz w:val="24"/>
        </w:rPr>
        <w:t>10</w:t>
      </w:r>
      <w:r>
        <w:rPr>
          <w:rFonts w:hint="eastAsia"/>
          <w:sz w:val="24"/>
        </w:rPr>
        <w:t>分钟。</w:t>
      </w:r>
    </w:p>
    <w:p w14:paraId="5F3BDF64" w14:textId="77777777" w:rsidR="00A33E32" w:rsidRDefault="00A33E32">
      <w:pPr>
        <w:rPr>
          <w:color w:val="FF0000"/>
        </w:rPr>
      </w:pPr>
    </w:p>
    <w:sectPr w:rsidR="00A33E32">
      <w:footerReference w:type="default" r:id="rId7"/>
      <w:pgSz w:w="11906" w:h="16838"/>
      <w:pgMar w:top="850" w:right="850" w:bottom="850" w:left="850" w:header="454" w:footer="454"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902A" w14:textId="77777777" w:rsidR="00BD3B5A" w:rsidRDefault="00BD3B5A">
      <w:r>
        <w:separator/>
      </w:r>
    </w:p>
  </w:endnote>
  <w:endnote w:type="continuationSeparator" w:id="0">
    <w:p w14:paraId="421E000D" w14:textId="77777777" w:rsidR="00BD3B5A" w:rsidRDefault="00BD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5439" w14:textId="77777777" w:rsidR="00A33E32" w:rsidRDefault="00000000">
    <w:pPr>
      <w:pStyle w:val="a3"/>
    </w:pPr>
    <w:r>
      <w:rPr>
        <w:noProof/>
      </w:rPr>
      <mc:AlternateContent>
        <mc:Choice Requires="wps">
          <w:drawing>
            <wp:anchor distT="0" distB="0" distL="114300" distR="114300" simplePos="0" relativeHeight="251659264" behindDoc="0" locked="0" layoutInCell="1" allowOverlap="1" wp14:anchorId="44016799" wp14:editId="04F02995">
              <wp:simplePos x="0" y="0"/>
              <wp:positionH relativeFrom="margin">
                <wp:align>center</wp:align>
              </wp:positionH>
              <wp:positionV relativeFrom="paragraph">
                <wp:posOffset>0</wp:posOffset>
              </wp:positionV>
              <wp:extent cx="859155" cy="147955"/>
              <wp:effectExtent l="0" t="0" r="1714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C77FA2C" w14:textId="77777777" w:rsidR="00A33E32"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w14:anchorId="44016799" id="_x0000_t202" coordsize="21600,21600" o:spt="202" path="m,l,21600r21600,l21600,xe">
              <v:stroke joinstyle="miter"/>
              <v:path gradientshapeok="t" o:connecttype="rect"/>
            </v:shapetype>
            <v:shape id="文本框 1" o:spid="_x0000_s1026" type="#_x0000_t202" style="position:absolute;margin-left:0;margin-top:0;width:6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" filled="f" stroked="f">
              <v:textbox style="mso-fit-shape-to-text:t" inset="0,0,0,0">
                <w:txbxContent>
                  <w:p w14:paraId="0C77FA2C" w14:textId="77777777" w:rsidR="00A33E32"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12A9" w14:textId="77777777" w:rsidR="00BD3B5A" w:rsidRDefault="00BD3B5A">
      <w:r>
        <w:separator/>
      </w:r>
    </w:p>
  </w:footnote>
  <w:footnote w:type="continuationSeparator" w:id="0">
    <w:p w14:paraId="02B4F46E" w14:textId="77777777" w:rsidR="00BD3B5A" w:rsidRDefault="00BD3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kMWM0OTMyZWM0N2FkM2I1ZWI0ODgyYTFiZGY0MGQifQ=="/>
  </w:docVars>
  <w:rsids>
    <w:rsidRoot w:val="00D91E52"/>
    <w:rsid w:val="000009E9"/>
    <w:rsid w:val="00027BA3"/>
    <w:rsid w:val="000C4FC5"/>
    <w:rsid w:val="00154270"/>
    <w:rsid w:val="00203A08"/>
    <w:rsid w:val="002741C8"/>
    <w:rsid w:val="00274D4F"/>
    <w:rsid w:val="00281CFC"/>
    <w:rsid w:val="002A4929"/>
    <w:rsid w:val="002F5385"/>
    <w:rsid w:val="0034009C"/>
    <w:rsid w:val="00351D69"/>
    <w:rsid w:val="00361C89"/>
    <w:rsid w:val="00383F88"/>
    <w:rsid w:val="003D1BFC"/>
    <w:rsid w:val="003D5AA0"/>
    <w:rsid w:val="00414853"/>
    <w:rsid w:val="004869F1"/>
    <w:rsid w:val="004B52B3"/>
    <w:rsid w:val="004C7175"/>
    <w:rsid w:val="004E3FB3"/>
    <w:rsid w:val="0050684E"/>
    <w:rsid w:val="00526CFA"/>
    <w:rsid w:val="00532A94"/>
    <w:rsid w:val="00560884"/>
    <w:rsid w:val="00581A0B"/>
    <w:rsid w:val="005946DD"/>
    <w:rsid w:val="005A2C14"/>
    <w:rsid w:val="005B5DA6"/>
    <w:rsid w:val="005C5982"/>
    <w:rsid w:val="005F4F13"/>
    <w:rsid w:val="00640D41"/>
    <w:rsid w:val="006A1C63"/>
    <w:rsid w:val="006E271A"/>
    <w:rsid w:val="0070524B"/>
    <w:rsid w:val="0074136A"/>
    <w:rsid w:val="007430C2"/>
    <w:rsid w:val="00765634"/>
    <w:rsid w:val="007D21F1"/>
    <w:rsid w:val="007D2BA2"/>
    <w:rsid w:val="007F1307"/>
    <w:rsid w:val="00856E64"/>
    <w:rsid w:val="008860C8"/>
    <w:rsid w:val="008B76BB"/>
    <w:rsid w:val="008F6C4A"/>
    <w:rsid w:val="0094368B"/>
    <w:rsid w:val="00944AFC"/>
    <w:rsid w:val="00945D74"/>
    <w:rsid w:val="0096244F"/>
    <w:rsid w:val="00985332"/>
    <w:rsid w:val="009A669A"/>
    <w:rsid w:val="009F2EE2"/>
    <w:rsid w:val="00A05639"/>
    <w:rsid w:val="00A3084A"/>
    <w:rsid w:val="00A33E32"/>
    <w:rsid w:val="00A428B1"/>
    <w:rsid w:val="00AD0C7D"/>
    <w:rsid w:val="00AD33FE"/>
    <w:rsid w:val="00AF5928"/>
    <w:rsid w:val="00B11E24"/>
    <w:rsid w:val="00B27022"/>
    <w:rsid w:val="00B54FB5"/>
    <w:rsid w:val="00B84407"/>
    <w:rsid w:val="00B9758A"/>
    <w:rsid w:val="00BB3673"/>
    <w:rsid w:val="00BD3B5A"/>
    <w:rsid w:val="00BE4E54"/>
    <w:rsid w:val="00C13F2E"/>
    <w:rsid w:val="00C15C8D"/>
    <w:rsid w:val="00C244FA"/>
    <w:rsid w:val="00C33D63"/>
    <w:rsid w:val="00C856A8"/>
    <w:rsid w:val="00C948C2"/>
    <w:rsid w:val="00D03689"/>
    <w:rsid w:val="00D065D1"/>
    <w:rsid w:val="00D230DA"/>
    <w:rsid w:val="00D73280"/>
    <w:rsid w:val="00D81822"/>
    <w:rsid w:val="00D91E52"/>
    <w:rsid w:val="00D96F64"/>
    <w:rsid w:val="00DE3425"/>
    <w:rsid w:val="00E4371F"/>
    <w:rsid w:val="00EB6B60"/>
    <w:rsid w:val="00ED6662"/>
    <w:rsid w:val="00EE0DD4"/>
    <w:rsid w:val="00F31788"/>
    <w:rsid w:val="00F67E69"/>
    <w:rsid w:val="00F93527"/>
    <w:rsid w:val="00FC1052"/>
    <w:rsid w:val="00FC4869"/>
    <w:rsid w:val="02D408C9"/>
    <w:rsid w:val="0FB64855"/>
    <w:rsid w:val="176C1B81"/>
    <w:rsid w:val="1E4B3D52"/>
    <w:rsid w:val="205A15A6"/>
    <w:rsid w:val="21F26B79"/>
    <w:rsid w:val="2B152182"/>
    <w:rsid w:val="2E9150F5"/>
    <w:rsid w:val="31E53637"/>
    <w:rsid w:val="34FE3A79"/>
    <w:rsid w:val="365D5A9C"/>
    <w:rsid w:val="3DD91BC8"/>
    <w:rsid w:val="5CB038B6"/>
    <w:rsid w:val="6D1E1B80"/>
    <w:rsid w:val="79F0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DBC6"/>
  <w15:docId w15:val="{B293A4BA-349B-4F51-8A10-371676C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a4">
    <w:name w:val="页脚 字符"/>
    <w:basedOn w:val="a0"/>
    <w:link w:val="a3"/>
    <w:qFormat/>
    <w:rPr>
      <w:rFonts w:ascii="Calibri" w:eastAsia="宋体" w:hAnsi="Calibri" w:cs="Times New Roman"/>
      <w:sz w:val="18"/>
      <w:szCs w:val="24"/>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2021-10-18T09:29:00Z</dcterms:created>
  <dcterms:modified xsi:type="dcterms:W3CDTF">2023-11-20T03:32:00Z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F8E20DEE42C34A5A8627B87A8BF435EB</vt:lpwstr>
  </property>
</Properties>
</file>