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1A1B" w14:textId="77777777" w:rsidR="001E6327" w:rsidRPr="001E6327" w:rsidRDefault="001E6327" w:rsidP="001E6327">
      <w:pPr>
        <w:widowControl/>
        <w:spacing w:before="100" w:beforeAutospacing="1" w:after="100" w:afterAutospacing="1" w:line="720" w:lineRule="atLeast"/>
        <w:jc w:val="center"/>
        <w:outlineLvl w:val="1"/>
        <w:rPr>
          <w:rFonts w:ascii="宋体" w:eastAsia="宋体" w:hAnsi="宋体" w:cs="宋体"/>
          <w:kern w:val="0"/>
          <w:sz w:val="45"/>
          <w:szCs w:val="45"/>
        </w:rPr>
      </w:pPr>
      <w:r w:rsidRPr="001E6327">
        <w:rPr>
          <w:rFonts w:ascii="宋体" w:eastAsia="宋体" w:hAnsi="宋体" w:cs="宋体" w:hint="eastAsia"/>
          <w:kern w:val="0"/>
          <w:sz w:val="45"/>
          <w:szCs w:val="45"/>
        </w:rPr>
        <w:t>2024年度国家社科基金艺术学重大项目招标公告</w:t>
      </w:r>
    </w:p>
    <w:p w14:paraId="7A29D528" w14:textId="77777777" w:rsidR="001E6327" w:rsidRDefault="001E6327" w:rsidP="001E6327">
      <w:pPr>
        <w:widowControl/>
        <w:spacing w:line="432" w:lineRule="atLeast"/>
        <w:jc w:val="left"/>
        <w:rPr>
          <w:rFonts w:ascii="宋体" w:eastAsia="宋体" w:hAnsi="宋体" w:cs="宋体"/>
          <w:color w:val="333333"/>
          <w:kern w:val="0"/>
          <w:sz w:val="24"/>
          <w:szCs w:val="24"/>
        </w:rPr>
      </w:pPr>
    </w:p>
    <w:p w14:paraId="4A6C241A" w14:textId="22538BE0"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经文化和旅游部和全国艺术科学规划领导小组批准，2024年度国家社科基金艺术学重大项目面向全国公开招标。现将有关事项公告如下：</w:t>
      </w:r>
    </w:p>
    <w:p w14:paraId="31B1D802"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一、招标单位</w:t>
      </w:r>
    </w:p>
    <w:p w14:paraId="0EB8810C"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全国艺术科学规划领导小组办公室</w:t>
      </w:r>
    </w:p>
    <w:p w14:paraId="573B654D"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二、招标对象</w:t>
      </w:r>
    </w:p>
    <w:p w14:paraId="1CAA20CD"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主要包括文化艺术和旅游领域重点研究机构、高等院校及社科研究机构等。投标要以单位名义进行，多单位联合投标须确定一个责任单位。鼓励跨地区、跨单位联合投标，鼓励理论工作部门与实际工作部门合作开展研究。</w:t>
      </w:r>
    </w:p>
    <w:p w14:paraId="45B92C8B"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三、招标工作总体要求</w:t>
      </w:r>
    </w:p>
    <w:p w14:paraId="6BEEA2B1"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以习近平新时代中国特色社会主义思想为指导，全面贯彻落实党的二十大精神，深刻领悟习近平文化思想，深入实施《中共中央关于加快构建中国特色哲学社会科学的意见》，着眼于推进文化自信自强、促进新时代文化艺术高质量发展，切实发挥国家社科基金示范引导作用。着力加强中国特色艺术学学科体系、学术体系、话语体系建设，不断推出具有重大学术创新价值和文化传承意义的标志性研究成果，大力推进知识创新、理论创新、方法创新，推动文化艺术和旅游研究为党和国家工作大局服务、为繁荣发展哲学社会科学服务、为文化艺术事业提供智力支持和理论支撑。</w:t>
      </w:r>
    </w:p>
    <w:p w14:paraId="3CE4441B"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四、招标数量和资助额度</w:t>
      </w:r>
    </w:p>
    <w:p w14:paraId="1C15978D"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2024年度共发布20个重大项目招标选题（见附件），每个招标选题原则上只确立1项中标课题。资助额度根据研究的实际需要确定，一般为每项60-80万元。</w:t>
      </w:r>
    </w:p>
    <w:p w14:paraId="0363CA9A"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五、投标资格要求</w:t>
      </w:r>
    </w:p>
    <w:p w14:paraId="26602946"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（一）投标责任单位须具备下列条件：</w:t>
      </w:r>
    </w:p>
    <w:p w14:paraId="521C262A"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1.在文化艺术研究领域具有较强的科研力量和深厚的学术积累；</w:t>
      </w:r>
    </w:p>
    <w:p w14:paraId="1CF0FAE4"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2.设有专门负责科研管理工作的职能部门；</w:t>
      </w:r>
    </w:p>
    <w:p w14:paraId="63D5CA4D"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3.能够为开展重大项目研究工作提供良好条件。</w:t>
      </w:r>
    </w:p>
    <w:p w14:paraId="1BBEE522"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（二）投标课题组须具备下列条件：</w:t>
      </w:r>
    </w:p>
    <w:p w14:paraId="0569182E"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lastRenderedPageBreak/>
        <w:t xml:space="preserve">　　1.遵守中华人民共和国宪法和法律，遵守国家社科基金各项管理规定；在相关研究领域具有深厚的学术造诣和丰富的科研经验，社会责任感强，学风优良；首席专家具有正高级专业技术</w:t>
      </w:r>
      <w:proofErr w:type="gramStart"/>
      <w:r w:rsidRPr="001E6327">
        <w:rPr>
          <w:rFonts w:ascii="宋体" w:eastAsia="宋体" w:hAnsi="宋体" w:cs="宋体" w:hint="eastAsia"/>
          <w:color w:val="333333"/>
          <w:kern w:val="0"/>
          <w:sz w:val="24"/>
          <w:szCs w:val="24"/>
        </w:rPr>
        <w:t>职称或厅局级</w:t>
      </w:r>
      <w:proofErr w:type="gramEnd"/>
      <w:r w:rsidRPr="001E6327">
        <w:rPr>
          <w:rFonts w:ascii="宋体" w:eastAsia="宋体" w:hAnsi="宋体" w:cs="宋体" w:hint="eastAsia"/>
          <w:color w:val="333333"/>
          <w:kern w:val="0"/>
          <w:sz w:val="24"/>
          <w:szCs w:val="24"/>
        </w:rPr>
        <w:t>（含）以上领导职务，每个投标团队的首席专家只能为一人。</w:t>
      </w:r>
    </w:p>
    <w:p w14:paraId="2BD1537C"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2.在</w:t>
      </w:r>
      <w:proofErr w:type="gramStart"/>
      <w:r w:rsidRPr="001E6327">
        <w:rPr>
          <w:rFonts w:ascii="宋体" w:eastAsia="宋体" w:hAnsi="宋体" w:cs="宋体" w:hint="eastAsia"/>
          <w:color w:val="333333"/>
          <w:kern w:val="0"/>
          <w:sz w:val="24"/>
          <w:szCs w:val="24"/>
        </w:rPr>
        <w:t>研</w:t>
      </w:r>
      <w:proofErr w:type="gramEnd"/>
      <w:r w:rsidRPr="001E6327">
        <w:rPr>
          <w:rFonts w:ascii="宋体" w:eastAsia="宋体" w:hAnsi="宋体" w:cs="宋体" w:hint="eastAsia"/>
          <w:color w:val="333333"/>
          <w:kern w:val="0"/>
          <w:sz w:val="24"/>
          <w:szCs w:val="24"/>
        </w:rPr>
        <w:t>的国家社科基金各类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科基金艺术学重大项目。</w:t>
      </w:r>
    </w:p>
    <w:p w14:paraId="187C8D6C"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3.首席专家只能投标一个项目，且不能作为子课题负责人或课题组成员参与本次投标的其他项目。子课题负责人具有副高级（含）以上专业技术职称（职务）或者具有博士学位，在本次招标中只能参与一个投标项目，已担任2个在</w:t>
      </w:r>
      <w:proofErr w:type="gramStart"/>
      <w:r w:rsidRPr="001E6327">
        <w:rPr>
          <w:rFonts w:ascii="宋体" w:eastAsia="宋体" w:hAnsi="宋体" w:cs="宋体" w:hint="eastAsia"/>
          <w:color w:val="333333"/>
          <w:kern w:val="0"/>
          <w:sz w:val="24"/>
          <w:szCs w:val="24"/>
        </w:rPr>
        <w:t>研</w:t>
      </w:r>
      <w:proofErr w:type="gramEnd"/>
      <w:r w:rsidRPr="001E6327">
        <w:rPr>
          <w:rFonts w:ascii="宋体" w:eastAsia="宋体" w:hAnsi="宋体" w:cs="宋体" w:hint="eastAsia"/>
          <w:color w:val="333333"/>
          <w:kern w:val="0"/>
          <w:sz w:val="24"/>
          <w:szCs w:val="24"/>
        </w:rPr>
        <w:t>的国家社科基金重大项目的子课题负责人不得参与本次投标。课题组成员最多参与两个投标项目。在</w:t>
      </w:r>
      <w:proofErr w:type="gramStart"/>
      <w:r w:rsidRPr="001E6327">
        <w:rPr>
          <w:rFonts w:ascii="宋体" w:eastAsia="宋体" w:hAnsi="宋体" w:cs="宋体" w:hint="eastAsia"/>
          <w:color w:val="333333"/>
          <w:kern w:val="0"/>
          <w:sz w:val="24"/>
          <w:szCs w:val="24"/>
        </w:rPr>
        <w:t>研</w:t>
      </w:r>
      <w:proofErr w:type="gramEnd"/>
      <w:r w:rsidRPr="001E6327">
        <w:rPr>
          <w:rFonts w:ascii="宋体" w:eastAsia="宋体" w:hAnsi="宋体" w:cs="宋体" w:hint="eastAsia"/>
          <w:color w:val="333333"/>
          <w:kern w:val="0"/>
          <w:sz w:val="24"/>
          <w:szCs w:val="24"/>
        </w:rPr>
        <w:t>的国家社科基金重大项目、重大研究专项项目和教育部哲学社会科学研究重大课题攻关项目的负责人，不得作为子课题负责人参与本次投标。</w:t>
      </w:r>
    </w:p>
    <w:p w14:paraId="7D4A25BF"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4.首席专家对投标项目负统筹协调的首要责任，每年</w:t>
      </w:r>
      <w:proofErr w:type="gramStart"/>
      <w:r w:rsidRPr="001E6327">
        <w:rPr>
          <w:rFonts w:ascii="宋体" w:eastAsia="宋体" w:hAnsi="宋体" w:cs="宋体" w:hint="eastAsia"/>
          <w:color w:val="333333"/>
          <w:kern w:val="0"/>
          <w:sz w:val="24"/>
          <w:szCs w:val="24"/>
        </w:rPr>
        <w:t>须举办</w:t>
      </w:r>
      <w:proofErr w:type="gramEnd"/>
      <w:r w:rsidRPr="001E6327">
        <w:rPr>
          <w:rFonts w:ascii="宋体" w:eastAsia="宋体" w:hAnsi="宋体" w:cs="宋体" w:hint="eastAsia"/>
          <w:color w:val="333333"/>
          <w:kern w:val="0"/>
          <w:sz w:val="24"/>
          <w:szCs w:val="24"/>
        </w:rPr>
        <w:t>至少2次核心人员（须含子课题负责人）研讨会或相关学术活动，首席专家及子课题负责人须承担实质性研究工作，原则上子课题负责人不得调整。</w:t>
      </w:r>
    </w:p>
    <w:p w14:paraId="20971576"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5.文化和旅游部机关工作人员不能申请或者参与申请国家社科基金艺术学重大项目。</w:t>
      </w:r>
    </w:p>
    <w:p w14:paraId="5F1F1A1F"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六、投标课题要求</w:t>
      </w:r>
    </w:p>
    <w:p w14:paraId="4739F153"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1.投标课题组须按2024年度发布的招标选题投标，自选课题不予受理。</w:t>
      </w:r>
    </w:p>
    <w:p w14:paraId="14EBE3BB"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2.投标课题要突出研究重点，体现有限目标，课题设计不宜过于宽泛，避免大而全，子课题数量一般不超过5个。大型文献典籍整理、丛书编纂、数据库建设等规模较大的课题，可根据实际需要设定子课题数量。每个子课题只能确定一名负责人。</w:t>
      </w:r>
    </w:p>
    <w:p w14:paraId="388C49F6"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3.投标课题组要熟知国内外相关领域研究前沿和动态，具备扎实的研究基础和丰富的相关前期研究成果。除必要的学术史梳理或综述外，应着重阐明本课题设计相对于已有研究的独到学术价值、应用价值和社会意义。</w:t>
      </w:r>
    </w:p>
    <w:p w14:paraId="78FE31B7"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4.投标课题组要树立鲜明的问题意识和创新意识，在框架设计、研究思路、主要内容、基本观点、研究方法等方面，体现创新的学术思想、独到的学术见解和可能取得的突破。</w:t>
      </w:r>
    </w:p>
    <w:p w14:paraId="4AC62108"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lastRenderedPageBreak/>
        <w:t xml:space="preserve">　　5.项目完成时间根据研究工作的实际需要确定，一般应在3-5年左右完成，以“*”标注选题研究周期不超过3年，不得延期。</w:t>
      </w:r>
    </w:p>
    <w:p w14:paraId="2DEE0AF2"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6.预期研究成果的规模和数量应科学合理，确保质量和学术水准，多出精品力作，避免重复出版；最终成果为大型文献典籍整理、多卷本专著、系列丛书等形式的，应注意编纂体例的科学性和统一性。</w:t>
      </w:r>
    </w:p>
    <w:p w14:paraId="2026B3FE"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七、投标纪律要求</w:t>
      </w:r>
    </w:p>
    <w:p w14:paraId="07D3D518"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1.投标责任单位和首席专家要加强审核把关，切实把好政治方向关和学术质量关。各省（区、市）艺术科学规划领导小组办公室或文化和旅游厅（局）艺术科研管理部门作为中级管理单位要从课题设计、课题论证、首席专家、前期研究成果、科研团队和责任单位等方面进行认真仔细审核，合格者予以上报。</w:t>
      </w:r>
    </w:p>
    <w:p w14:paraId="64A2A793"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2.投标课题组要弘扬严谨、求实、创新、诚信的优良学风，自觉坚持公平竞争的原则，严格遵守国家社科基金项目管理规定。凡有弄虚作假、抄袭剽窃、违规违纪等行为的，一经查实，即取消参评资格，如获中标，一律撤项，5年内不得申报国家社科基金项目。</w:t>
      </w:r>
    </w:p>
    <w:p w14:paraId="4F039289"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3.子课题负责人和课题组成员须为课题研究的实际参与者，且须征得本人同意，否则视为违规申报。如获中标，首席专家要兑现投标时承诺，确保子课题负责人有足够的时间精力投入研究。</w:t>
      </w:r>
    </w:p>
    <w:p w14:paraId="57196D55"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4.投标课题组可提出2名以内建议回避评审专家，全国艺术科学规划领导小组办公室将根据评审工作的实际情况予以考虑。</w:t>
      </w:r>
    </w:p>
    <w:p w14:paraId="05842E60"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八、申报程序和时间安排</w:t>
      </w:r>
    </w:p>
    <w:p w14:paraId="3AF3B9D8"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1.2024年度国家社科基金艺术学重大项目实行网上申报，不接受纸质投标材料。请首席专家登录全国艺术科学规划项目管理平台（网址：https://yskx.mct.gov.cn，以下简称“项目管理平台”），按照有关说明注册</w:t>
      </w:r>
      <w:proofErr w:type="gramStart"/>
      <w:r w:rsidRPr="001E6327">
        <w:rPr>
          <w:rFonts w:ascii="宋体" w:eastAsia="宋体" w:hAnsi="宋体" w:cs="宋体" w:hint="eastAsia"/>
          <w:color w:val="333333"/>
          <w:kern w:val="0"/>
          <w:sz w:val="24"/>
          <w:szCs w:val="24"/>
        </w:rPr>
        <w:t>帐号</w:t>
      </w:r>
      <w:proofErr w:type="gramEnd"/>
      <w:r w:rsidRPr="001E6327">
        <w:rPr>
          <w:rFonts w:ascii="宋体" w:eastAsia="宋体" w:hAnsi="宋体" w:cs="宋体" w:hint="eastAsia"/>
          <w:color w:val="333333"/>
          <w:kern w:val="0"/>
          <w:sz w:val="24"/>
          <w:szCs w:val="24"/>
        </w:rPr>
        <w:t>并提交材料。</w:t>
      </w:r>
    </w:p>
    <w:p w14:paraId="332D6A50"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2.全国艺术科学规划领导小组办公室委托中国艺术科技研究所受理各地投标材料，全国艺术科学规划领导小组办公室不直接受理。</w:t>
      </w:r>
    </w:p>
    <w:p w14:paraId="7054468B"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3.2024年度，除文化和旅游部直属单位及共建院校外，国家社科基金艺术学重大项目实行3级申报制度。投标课题</w:t>
      </w:r>
      <w:proofErr w:type="gramStart"/>
      <w:r w:rsidRPr="001E6327">
        <w:rPr>
          <w:rFonts w:ascii="宋体" w:eastAsia="宋体" w:hAnsi="宋体" w:cs="宋体" w:hint="eastAsia"/>
          <w:color w:val="333333"/>
          <w:kern w:val="0"/>
          <w:sz w:val="24"/>
          <w:szCs w:val="24"/>
        </w:rPr>
        <w:t>经责任</w:t>
      </w:r>
      <w:proofErr w:type="gramEnd"/>
      <w:r w:rsidRPr="001E6327">
        <w:rPr>
          <w:rFonts w:ascii="宋体" w:eastAsia="宋体" w:hAnsi="宋体" w:cs="宋体" w:hint="eastAsia"/>
          <w:color w:val="333333"/>
          <w:kern w:val="0"/>
          <w:sz w:val="24"/>
          <w:szCs w:val="24"/>
        </w:rPr>
        <w:t>单位、中级管理单位审核后，通过项目管理平台提交至中国艺术科技研究所。文化和旅游部直属单位及共建院校实行2级申报制度，投标课题经本单位审核后，通过项目管理平台直接提交至中国艺术科技研究所。</w:t>
      </w:r>
    </w:p>
    <w:p w14:paraId="6C232746"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lastRenderedPageBreak/>
        <w:t xml:space="preserve">　　4.首席专家及责任单位（</w:t>
      </w:r>
      <w:proofErr w:type="gramStart"/>
      <w:r w:rsidRPr="001E6327">
        <w:rPr>
          <w:rFonts w:ascii="宋体" w:eastAsia="宋体" w:hAnsi="宋体" w:cs="宋体" w:hint="eastAsia"/>
          <w:color w:val="333333"/>
          <w:kern w:val="0"/>
          <w:sz w:val="24"/>
          <w:szCs w:val="24"/>
        </w:rPr>
        <w:t>含文化</w:t>
      </w:r>
      <w:proofErr w:type="gramEnd"/>
      <w:r w:rsidRPr="001E6327">
        <w:rPr>
          <w:rFonts w:ascii="宋体" w:eastAsia="宋体" w:hAnsi="宋体" w:cs="宋体" w:hint="eastAsia"/>
          <w:color w:val="333333"/>
          <w:kern w:val="0"/>
          <w:sz w:val="24"/>
          <w:szCs w:val="24"/>
        </w:rPr>
        <w:t>和旅游部直属单位及共建院校）网上集中填报投标课题和审核提交时间为2024年2月20日至3月15日，逾期项目管理平台自动关闭，不再受理申报及审核。中级管理单位网上审核提交时间为3月16日至4月3日。各中级管理单位、文化和旅游部直属单位及共建院校完成本级审核及提交后，要将生成的本地区（本单位）项目汇总表打印盖章后报送至中国艺术科技研究所全国艺术科学规划项目管理中心。</w:t>
      </w:r>
      <w:proofErr w:type="gramStart"/>
      <w:r w:rsidRPr="001E6327">
        <w:rPr>
          <w:rFonts w:ascii="宋体" w:eastAsia="宋体" w:hAnsi="宋体" w:cs="宋体" w:hint="eastAsia"/>
          <w:color w:val="333333"/>
          <w:kern w:val="0"/>
          <w:sz w:val="24"/>
          <w:szCs w:val="24"/>
        </w:rPr>
        <w:t>请严格</w:t>
      </w:r>
      <w:proofErr w:type="gramEnd"/>
      <w:r w:rsidRPr="001E6327">
        <w:rPr>
          <w:rFonts w:ascii="宋体" w:eastAsia="宋体" w:hAnsi="宋体" w:cs="宋体" w:hint="eastAsia"/>
          <w:color w:val="333333"/>
          <w:kern w:val="0"/>
          <w:sz w:val="24"/>
          <w:szCs w:val="24"/>
        </w:rPr>
        <w:t>按照以上时间要求填报投标材料、审核，因错过受理时间、未按要求操作造成的责任由相关人员自行承担。</w:t>
      </w:r>
    </w:p>
    <w:p w14:paraId="1BA68E1C"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5.全国艺术科学规划领导小组办公室将对投标课题进行资格审查，并组织专家对通过资格审查的投标课题进行评审，提出建议中标课题名单。</w:t>
      </w:r>
    </w:p>
    <w:p w14:paraId="5FA68E61"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6.建议中标课题将在文化和旅游部门户网站及相关媒体公示7天，公示期满，对无异议项目下达立项通知书。</w:t>
      </w:r>
    </w:p>
    <w:p w14:paraId="13B100A6"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邮寄地址：北京市东城区雍和宫大街戏楼胡同1号中国艺术科技研究所全国艺术科学规划项目管理中心</w:t>
      </w:r>
    </w:p>
    <w:p w14:paraId="087298E1"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邮政编码：100007</w:t>
      </w:r>
    </w:p>
    <w:p w14:paraId="2F5FA889"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咨询电话：010-87930753 姚宇航</w:t>
      </w:r>
    </w:p>
    <w:p w14:paraId="03D15D79"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邮 箱：qgyskxghb@163.com（请优先通过邮箱咨询申报问题）</w:t>
      </w:r>
    </w:p>
    <w:p w14:paraId="11FBAC4C"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受不可抗力影响，申报工作安排如有变化，我办将第一时间另行通知。</w:t>
      </w:r>
    </w:p>
    <w:p w14:paraId="7F0DA211"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特此公告。</w:t>
      </w:r>
    </w:p>
    <w:p w14:paraId="490F6ACC"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w:t>
      </w:r>
    </w:p>
    <w:p w14:paraId="6F81016D" w14:textId="77777777" w:rsidR="001E6327" w:rsidRPr="001E6327" w:rsidRDefault="001E6327" w:rsidP="001E6327">
      <w:pPr>
        <w:widowControl/>
        <w:spacing w:line="432" w:lineRule="atLeast"/>
        <w:jc w:val="righ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文化和旅游部科技教育司   </w:t>
      </w:r>
    </w:p>
    <w:p w14:paraId="4320B353" w14:textId="77777777" w:rsidR="001E6327" w:rsidRPr="001E6327" w:rsidRDefault="001E6327" w:rsidP="001E6327">
      <w:pPr>
        <w:widowControl/>
        <w:spacing w:line="432" w:lineRule="atLeast"/>
        <w:jc w:val="righ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全国艺术科学规划领导小组办公室</w:t>
      </w:r>
    </w:p>
    <w:p w14:paraId="588C5363" w14:textId="77777777" w:rsidR="001E6327" w:rsidRPr="001E6327" w:rsidRDefault="001E6327" w:rsidP="001E6327">
      <w:pPr>
        <w:widowControl/>
        <w:spacing w:line="432" w:lineRule="atLeast"/>
        <w:jc w:val="right"/>
        <w:rPr>
          <w:rFonts w:ascii="宋体" w:eastAsia="宋体" w:hAnsi="宋体" w:cs="宋体" w:hint="eastAsia"/>
          <w:color w:val="333333"/>
          <w:kern w:val="0"/>
          <w:sz w:val="24"/>
          <w:szCs w:val="24"/>
        </w:rPr>
      </w:pPr>
      <w:r w:rsidRPr="001E6327">
        <w:rPr>
          <w:rFonts w:ascii="宋体" w:eastAsia="宋体" w:hAnsi="宋体" w:cs="宋体" w:hint="eastAsia"/>
          <w:color w:val="333333"/>
          <w:kern w:val="0"/>
          <w:sz w:val="24"/>
          <w:szCs w:val="24"/>
        </w:rPr>
        <w:t xml:space="preserve">　　2024年2月7日       </w:t>
      </w:r>
    </w:p>
    <w:p w14:paraId="1A67EDCF" w14:textId="77777777" w:rsidR="001E6327" w:rsidRPr="001E6327" w:rsidRDefault="001E6327" w:rsidP="001E6327">
      <w:pPr>
        <w:widowControl/>
        <w:spacing w:line="450" w:lineRule="atLeast"/>
        <w:jc w:val="left"/>
        <w:rPr>
          <w:rFonts w:ascii="宋体" w:eastAsia="宋体" w:hAnsi="宋体" w:cs="宋体" w:hint="eastAsia"/>
          <w:color w:val="333333"/>
          <w:kern w:val="0"/>
          <w:sz w:val="27"/>
          <w:szCs w:val="27"/>
        </w:rPr>
      </w:pPr>
    </w:p>
    <w:p w14:paraId="201AE6CF"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宋体" w:cs="宋体" w:hint="eastAsia"/>
          <w:b/>
          <w:bCs/>
          <w:color w:val="333333"/>
          <w:kern w:val="0"/>
          <w:sz w:val="24"/>
          <w:szCs w:val="24"/>
          <w:bdr w:val="none" w:sz="0" w:space="0" w:color="auto" w:frame="1"/>
        </w:rPr>
        <w:t>附件：</w:t>
      </w:r>
    </w:p>
    <w:p w14:paraId="4315470D" w14:textId="77777777" w:rsidR="001E6327" w:rsidRPr="001E6327" w:rsidRDefault="001E6327" w:rsidP="001E6327">
      <w:pPr>
        <w:widowControl/>
        <w:spacing w:line="432" w:lineRule="atLeast"/>
        <w:jc w:val="left"/>
        <w:rPr>
          <w:rFonts w:ascii="宋体" w:eastAsia="宋体" w:hAnsi="宋体" w:cs="宋体" w:hint="eastAsia"/>
          <w:color w:val="333333"/>
          <w:kern w:val="0"/>
          <w:sz w:val="24"/>
          <w:szCs w:val="24"/>
        </w:rPr>
      </w:pPr>
      <w:r w:rsidRPr="001E6327">
        <w:rPr>
          <w:rFonts w:ascii="宋体" w:eastAsia="宋体" w:hAnsi="Symbol" w:cs="宋体"/>
          <w:color w:val="333333"/>
          <w:kern w:val="0"/>
          <w:sz w:val="24"/>
          <w:szCs w:val="24"/>
        </w:rPr>
        <w:t></w:t>
      </w:r>
      <w:r w:rsidRPr="001E6327">
        <w:rPr>
          <w:rFonts w:ascii="宋体" w:eastAsia="宋体" w:hAnsi="宋体" w:cs="宋体"/>
          <w:color w:val="333333"/>
          <w:kern w:val="0"/>
          <w:sz w:val="24"/>
          <w:szCs w:val="24"/>
        </w:rPr>
        <w:t xml:space="preserve">  </w:t>
      </w:r>
      <w:hyperlink r:id="rId4" w:tgtFrame="_blank" w:history="1">
        <w:r w:rsidRPr="001E6327">
          <w:rPr>
            <w:rFonts w:ascii="宋体" w:eastAsia="宋体" w:hAnsi="宋体" w:cs="宋体" w:hint="eastAsia"/>
            <w:color w:val="0000FF"/>
            <w:kern w:val="0"/>
            <w:sz w:val="24"/>
            <w:szCs w:val="24"/>
            <w:u w:val="single"/>
            <w:bdr w:val="none" w:sz="0" w:space="0" w:color="auto" w:frame="1"/>
          </w:rPr>
          <w:t>1. 2024年度国家社会科学基金艺术学重大项目招标选题.doc</w:t>
        </w:r>
      </w:hyperlink>
      <w:r w:rsidRPr="001E6327">
        <w:rPr>
          <w:rFonts w:ascii="宋体" w:eastAsia="宋体" w:hAnsi="宋体" w:cs="宋体" w:hint="eastAsia"/>
          <w:color w:val="0000FF"/>
          <w:kern w:val="0"/>
          <w:sz w:val="24"/>
          <w:szCs w:val="24"/>
          <w:bdr w:val="none" w:sz="0" w:space="0" w:color="auto" w:frame="1"/>
        </w:rPr>
        <w:br/>
      </w:r>
      <w:hyperlink r:id="rId5" w:tgtFrame="_blank" w:history="1">
        <w:r w:rsidRPr="001E6327">
          <w:rPr>
            <w:rFonts w:ascii="宋体" w:eastAsia="宋体" w:hAnsi="宋体" w:cs="宋体" w:hint="eastAsia"/>
            <w:color w:val="0000FF"/>
            <w:kern w:val="0"/>
            <w:sz w:val="24"/>
            <w:szCs w:val="24"/>
            <w:u w:val="single"/>
            <w:bdr w:val="none" w:sz="0" w:space="0" w:color="auto" w:frame="1"/>
          </w:rPr>
          <w:t>2. 国家社会科学基金项目资金管理办法.doc</w:t>
        </w:r>
      </w:hyperlink>
      <w:r w:rsidRPr="001E6327">
        <w:rPr>
          <w:rFonts w:ascii="宋体" w:eastAsia="宋体" w:hAnsi="宋体" w:cs="宋体" w:hint="eastAsia"/>
          <w:color w:val="0000FF"/>
          <w:kern w:val="0"/>
          <w:sz w:val="24"/>
          <w:szCs w:val="24"/>
          <w:bdr w:val="none" w:sz="0" w:space="0" w:color="auto" w:frame="1"/>
        </w:rPr>
        <w:br/>
      </w:r>
      <w:hyperlink r:id="rId6" w:tgtFrame="_blank" w:history="1">
        <w:r w:rsidRPr="001E6327">
          <w:rPr>
            <w:rFonts w:ascii="宋体" w:eastAsia="宋体" w:hAnsi="宋体" w:cs="宋体" w:hint="eastAsia"/>
            <w:color w:val="0000FF"/>
            <w:kern w:val="0"/>
            <w:sz w:val="24"/>
            <w:szCs w:val="24"/>
            <w:u w:val="single"/>
            <w:bdr w:val="none" w:sz="0" w:space="0" w:color="auto" w:frame="1"/>
          </w:rPr>
          <w:t>3. 各省(区、市)中级管理部门联络表.xlsx</w:t>
        </w:r>
      </w:hyperlink>
      <w:r w:rsidRPr="001E6327">
        <w:rPr>
          <w:rFonts w:ascii="宋体" w:eastAsia="宋体" w:hAnsi="宋体" w:cs="宋体" w:hint="eastAsia"/>
          <w:color w:val="0000FF"/>
          <w:kern w:val="0"/>
          <w:sz w:val="24"/>
          <w:szCs w:val="24"/>
          <w:bdr w:val="none" w:sz="0" w:space="0" w:color="auto" w:frame="1"/>
        </w:rPr>
        <w:br/>
      </w:r>
      <w:hyperlink r:id="rId7" w:tgtFrame="_blank" w:history="1">
        <w:r w:rsidRPr="001E6327">
          <w:rPr>
            <w:rFonts w:ascii="宋体" w:eastAsia="宋体" w:hAnsi="宋体" w:cs="宋体" w:hint="eastAsia"/>
            <w:color w:val="0000FF"/>
            <w:kern w:val="0"/>
            <w:sz w:val="24"/>
            <w:szCs w:val="24"/>
            <w:u w:val="single"/>
            <w:bdr w:val="none" w:sz="0" w:space="0" w:color="auto" w:frame="1"/>
          </w:rPr>
          <w:t>4. 国家社科基金艺术学历年立项项目汇编(2013-2023).xlsx</w:t>
        </w:r>
      </w:hyperlink>
    </w:p>
    <w:p w14:paraId="2D925A2E" w14:textId="77777777" w:rsidR="00792FDA" w:rsidRPr="001E6327" w:rsidRDefault="00792FDA" w:rsidP="001E6327"/>
    <w:sectPr w:rsidR="00792FDA" w:rsidRPr="001E6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27"/>
    <w:rsid w:val="001C340E"/>
    <w:rsid w:val="001E6327"/>
    <w:rsid w:val="00792FDA"/>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13BF"/>
  <w15:chartTrackingRefBased/>
  <w15:docId w15:val="{9A9A71C8-AE6E-46A6-AC03-67CE4065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6253">
      <w:bodyDiv w:val="1"/>
      <w:marLeft w:val="0"/>
      <w:marRight w:val="0"/>
      <w:marTop w:val="0"/>
      <w:marBottom w:val="0"/>
      <w:divBdr>
        <w:top w:val="none" w:sz="0" w:space="0" w:color="auto"/>
        <w:left w:val="none" w:sz="0" w:space="0" w:color="auto"/>
        <w:bottom w:val="none" w:sz="0" w:space="0" w:color="auto"/>
        <w:right w:val="none" w:sz="0" w:space="0" w:color="auto"/>
      </w:divBdr>
      <w:divsChild>
        <w:div w:id="964430159">
          <w:marLeft w:val="690"/>
          <w:marRight w:val="690"/>
          <w:marTop w:val="0"/>
          <w:marBottom w:val="0"/>
          <w:divBdr>
            <w:top w:val="none" w:sz="0" w:space="0" w:color="auto"/>
            <w:left w:val="none" w:sz="0" w:space="0" w:color="auto"/>
            <w:bottom w:val="none" w:sz="0" w:space="0" w:color="auto"/>
            <w:right w:val="none" w:sz="0" w:space="0" w:color="auto"/>
          </w:divBdr>
          <w:divsChild>
            <w:div w:id="2064672723">
              <w:marLeft w:val="0"/>
              <w:marRight w:val="0"/>
              <w:marTop w:val="0"/>
              <w:marBottom w:val="0"/>
              <w:divBdr>
                <w:top w:val="single" w:sz="6" w:space="0" w:color="F2F2F2"/>
                <w:left w:val="none" w:sz="0" w:space="0" w:color="auto"/>
                <w:bottom w:val="none" w:sz="0" w:space="0" w:color="auto"/>
                <w:right w:val="none" w:sz="0" w:space="0" w:color="auto"/>
              </w:divBdr>
              <w:divsChild>
                <w:div w:id="53357918">
                  <w:marLeft w:val="0"/>
                  <w:marRight w:val="0"/>
                  <w:marTop w:val="300"/>
                  <w:marBottom w:val="300"/>
                  <w:divBdr>
                    <w:top w:val="none" w:sz="0" w:space="0" w:color="auto"/>
                    <w:left w:val="none" w:sz="0" w:space="0" w:color="auto"/>
                    <w:bottom w:val="none" w:sz="0" w:space="0" w:color="auto"/>
                    <w:right w:val="none" w:sz="0" w:space="0" w:color="auto"/>
                  </w:divBdr>
                  <w:divsChild>
                    <w:div w:id="56842143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39983">
          <w:marLeft w:val="690"/>
          <w:marRight w:val="690"/>
          <w:marTop w:val="0"/>
          <w:marBottom w:val="0"/>
          <w:divBdr>
            <w:top w:val="none" w:sz="0" w:space="0" w:color="auto"/>
            <w:left w:val="none" w:sz="0" w:space="0" w:color="auto"/>
            <w:bottom w:val="none" w:sz="0" w:space="0" w:color="auto"/>
            <w:right w:val="none" w:sz="0" w:space="0" w:color="auto"/>
          </w:divBdr>
          <w:divsChild>
            <w:div w:id="718166662">
              <w:marLeft w:val="0"/>
              <w:marRight w:val="0"/>
              <w:marTop w:val="0"/>
              <w:marBottom w:val="0"/>
              <w:divBdr>
                <w:top w:val="single" w:sz="6" w:space="8" w:color="B3B3B3"/>
                <w:left w:val="none" w:sz="0" w:space="0" w:color="auto"/>
                <w:bottom w:val="single" w:sz="6" w:space="8" w:color="B3B3B3"/>
                <w:right w:val="none" w:sz="0" w:space="0" w:color="auto"/>
              </w:divBdr>
            </w:div>
          </w:divsChild>
        </w:div>
      </w:divsChild>
    </w:div>
    <w:div w:id="1806661024">
      <w:bodyDiv w:val="1"/>
      <w:marLeft w:val="0"/>
      <w:marRight w:val="0"/>
      <w:marTop w:val="0"/>
      <w:marBottom w:val="0"/>
      <w:divBdr>
        <w:top w:val="none" w:sz="0" w:space="0" w:color="auto"/>
        <w:left w:val="none" w:sz="0" w:space="0" w:color="auto"/>
        <w:bottom w:val="none" w:sz="0" w:space="0" w:color="auto"/>
        <w:right w:val="none" w:sz="0" w:space="0" w:color="auto"/>
      </w:divBdr>
      <w:divsChild>
        <w:div w:id="470706684">
          <w:marLeft w:val="690"/>
          <w:marRight w:val="690"/>
          <w:marTop w:val="0"/>
          <w:marBottom w:val="0"/>
          <w:divBdr>
            <w:top w:val="none" w:sz="0" w:space="0" w:color="auto"/>
            <w:left w:val="none" w:sz="0" w:space="0" w:color="auto"/>
            <w:bottom w:val="none" w:sz="0" w:space="0" w:color="auto"/>
            <w:right w:val="none" w:sz="0" w:space="0" w:color="auto"/>
          </w:divBdr>
          <w:divsChild>
            <w:div w:id="374089351">
              <w:marLeft w:val="0"/>
              <w:marRight w:val="0"/>
              <w:marTop w:val="0"/>
              <w:marBottom w:val="0"/>
              <w:divBdr>
                <w:top w:val="single" w:sz="6" w:space="0" w:color="F2F2F2"/>
                <w:left w:val="none" w:sz="0" w:space="0" w:color="auto"/>
                <w:bottom w:val="none" w:sz="0" w:space="0" w:color="auto"/>
                <w:right w:val="none" w:sz="0" w:space="0" w:color="auto"/>
              </w:divBdr>
              <w:divsChild>
                <w:div w:id="1422802335">
                  <w:marLeft w:val="0"/>
                  <w:marRight w:val="0"/>
                  <w:marTop w:val="300"/>
                  <w:marBottom w:val="300"/>
                  <w:divBdr>
                    <w:top w:val="none" w:sz="0" w:space="0" w:color="auto"/>
                    <w:left w:val="none" w:sz="0" w:space="0" w:color="auto"/>
                    <w:bottom w:val="none" w:sz="0" w:space="0" w:color="auto"/>
                    <w:right w:val="none" w:sz="0" w:space="0" w:color="auto"/>
                  </w:divBdr>
                  <w:divsChild>
                    <w:div w:id="106268025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8619">
          <w:marLeft w:val="690"/>
          <w:marRight w:val="690"/>
          <w:marTop w:val="0"/>
          <w:marBottom w:val="0"/>
          <w:divBdr>
            <w:top w:val="none" w:sz="0" w:space="0" w:color="auto"/>
            <w:left w:val="none" w:sz="0" w:space="0" w:color="auto"/>
            <w:bottom w:val="none" w:sz="0" w:space="0" w:color="auto"/>
            <w:right w:val="none" w:sz="0" w:space="0" w:color="auto"/>
          </w:divBdr>
          <w:divsChild>
            <w:div w:id="313341530">
              <w:marLeft w:val="0"/>
              <w:marRight w:val="0"/>
              <w:marTop w:val="0"/>
              <w:marBottom w:val="0"/>
              <w:divBdr>
                <w:top w:val="single" w:sz="6" w:space="8" w:color="B3B3B3"/>
                <w:left w:val="none" w:sz="0" w:space="0" w:color="auto"/>
                <w:bottom w:val="single" w:sz="6" w:space="8" w:color="B3B3B3"/>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wgk.mct.gov.cn/zfxxgkml/kjjy/202402/P020240207525357648895.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wgk.mct.gov.cn/zfxxgkml/kjjy/202402/P020240207427985113508.xlsx" TargetMode="External"/><Relationship Id="rId5" Type="http://schemas.openxmlformats.org/officeDocument/2006/relationships/hyperlink" Target="https://zwgk.mct.gov.cn/zfxxgkml/kjjy/202402/P020240207427984908396.doc" TargetMode="External"/><Relationship Id="rId4" Type="http://schemas.openxmlformats.org/officeDocument/2006/relationships/hyperlink" Target="https://zwgk.mct.gov.cn/zfxxgkml/kjjy/202402/P020240207427984600652.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2024-02-23T07:38:00Z</dcterms:created>
  <dcterms:modified xsi:type="dcterms:W3CDTF">2024-02-23T07:39:00Z</dcterms:modified>
</cp:coreProperties>
</file>