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2705" w14:textId="77777777" w:rsidR="001E0A87" w:rsidRDefault="00000000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附件1</w:t>
      </w:r>
    </w:p>
    <w:p w14:paraId="539DCE18" w14:textId="77777777" w:rsidR="001E0A87" w:rsidRDefault="001E0A87">
      <w:pPr>
        <w:pStyle w:val="a0"/>
        <w:spacing w:line="240" w:lineRule="exact"/>
        <w:ind w:firstLine="0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14:paraId="67F86268" w14:textId="77777777" w:rsidR="001E0A87" w:rsidRDefault="00000000">
      <w:pPr>
        <w:spacing w:line="560" w:lineRule="exact"/>
        <w:ind w:firstLineChars="200" w:firstLine="720"/>
        <w:jc w:val="left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广东省高等教育学会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6"/>
          <w:szCs w:val="36"/>
          <w:lang w:bidi="ar"/>
        </w:rPr>
        <w:t>“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十四五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6"/>
          <w:szCs w:val="36"/>
          <w:lang w:bidi="ar"/>
        </w:rPr>
        <w:t>”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规划2023年度</w:t>
      </w:r>
    </w:p>
    <w:p w14:paraId="3EE41B01" w14:textId="77777777" w:rsidR="001E0A87" w:rsidRDefault="00000000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高等教育研究课题指南</w:t>
      </w:r>
    </w:p>
    <w:p w14:paraId="4FECCC6E" w14:textId="77777777" w:rsidR="001E0A87" w:rsidRDefault="001E0A87">
      <w:pPr>
        <w:spacing w:line="240" w:lineRule="exact"/>
        <w:rPr>
          <w:rFonts w:ascii="仿宋_GB2312" w:eastAsia="仿宋_GB2312" w:hAnsi="仿宋" w:cs="仿宋"/>
          <w:color w:val="333333"/>
          <w:sz w:val="32"/>
          <w:szCs w:val="32"/>
        </w:rPr>
      </w:pPr>
    </w:p>
    <w:p w14:paraId="4A6B7459" w14:textId="77777777" w:rsidR="001E0A87" w:rsidRDefault="001E0A87">
      <w:pPr>
        <w:spacing w:line="240" w:lineRule="exact"/>
        <w:rPr>
          <w:rFonts w:ascii="仿宋_GB2312" w:eastAsia="仿宋_GB2312" w:hAnsi="仿宋" w:cs="仿宋"/>
          <w:color w:val="333333"/>
          <w:sz w:val="32"/>
          <w:szCs w:val="32"/>
        </w:rPr>
      </w:pPr>
    </w:p>
    <w:p w14:paraId="175B52C0" w14:textId="77777777" w:rsidR="001E0A87" w:rsidRDefault="00000000">
      <w:pPr>
        <w:spacing w:line="560" w:lineRule="exact"/>
        <w:ind w:firstLineChars="200" w:firstLine="640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一、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党的二十大教育部署解读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研究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专项</w:t>
      </w:r>
    </w:p>
    <w:p w14:paraId="2582501E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中国式高等教育现代化研究</w:t>
      </w:r>
    </w:p>
    <w:p w14:paraId="13484380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（二）深化高等教育领域综合改革研究</w:t>
      </w:r>
    </w:p>
    <w:p w14:paraId="56524C9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（三）加强基础学科、新兴学科、交叉学科建设路径研究</w:t>
      </w:r>
    </w:p>
    <w:p w14:paraId="2E51BE9C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（四）基础学科拔尖创新人才培养模式研究</w:t>
      </w:r>
    </w:p>
    <w:p w14:paraId="110A3A85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（五）全面提高人才自主培养质量研究</w:t>
      </w:r>
    </w:p>
    <w:p w14:paraId="5073BD9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（六）统筹职业教育、高等教育、继续教育协同创新研究</w:t>
      </w:r>
    </w:p>
    <w:p w14:paraId="033DD37B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（七）</w:t>
      </w:r>
      <w:proofErr w:type="gramStart"/>
      <w:r>
        <w:rPr>
          <w:rFonts w:ascii="仿宋_GB2312" w:eastAsia="仿宋_GB2312" w:hint="eastAsia"/>
          <w:sz w:val="32"/>
          <w:szCs w:val="32"/>
        </w:rPr>
        <w:t>推进职普融通</w:t>
      </w:r>
      <w:proofErr w:type="gramEnd"/>
      <w:r>
        <w:rPr>
          <w:rFonts w:ascii="仿宋_GB2312" w:eastAsia="仿宋_GB2312" w:hint="eastAsia"/>
          <w:sz w:val="32"/>
          <w:szCs w:val="32"/>
        </w:rPr>
        <w:t>、产教融合、科教</w:t>
      </w:r>
      <w:proofErr w:type="gramStart"/>
      <w:r>
        <w:rPr>
          <w:rFonts w:ascii="仿宋_GB2312" w:eastAsia="仿宋_GB2312" w:hint="eastAsia"/>
          <w:sz w:val="32"/>
          <w:szCs w:val="32"/>
        </w:rPr>
        <w:t>融汇</w:t>
      </w:r>
      <w:proofErr w:type="gramEnd"/>
      <w:r>
        <w:rPr>
          <w:rFonts w:ascii="仿宋_GB2312" w:eastAsia="仿宋_GB2312" w:hint="eastAsia"/>
          <w:sz w:val="32"/>
          <w:szCs w:val="32"/>
        </w:rPr>
        <w:t>的实践策略研究</w:t>
      </w:r>
    </w:p>
    <w:p w14:paraId="75E6C5EF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（八）优化职业教育类型定位研究</w:t>
      </w:r>
    </w:p>
    <w:p w14:paraId="31446122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（九）加快建设中国特色、世界一流的大学和优势学科策略研究</w:t>
      </w:r>
    </w:p>
    <w:p w14:paraId="274F10C6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（十）优化国家科研机构、高水平研究型大学、科技领军企业定位和布局研究</w:t>
      </w:r>
    </w:p>
    <w:p w14:paraId="1F4330FB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（十一）加快建设世界重要人才中心、创新高地与促进人才区域合理布局、协调发展研究</w:t>
      </w:r>
    </w:p>
    <w:p w14:paraId="6FBAD7BC" w14:textId="77777777" w:rsidR="001E0A87" w:rsidRDefault="00000000">
      <w:pPr>
        <w:pStyle w:val="a0"/>
        <w:numPr>
          <w:ilvl w:val="255"/>
          <w:numId w:val="0"/>
        </w:numPr>
        <w:spacing w:line="560" w:lineRule="exact"/>
        <w:ind w:firstLineChars="200" w:firstLine="640"/>
      </w:pP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二、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高等教育高质量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发展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研究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专项</w:t>
      </w:r>
    </w:p>
    <w:p w14:paraId="6DF33D3B" w14:textId="77777777" w:rsidR="001E0A8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（十二）普及化时代高等教育分类发展研究</w:t>
      </w:r>
    </w:p>
    <w:p w14:paraId="2780FD0B" w14:textId="77777777" w:rsidR="001E0A87" w:rsidRDefault="00000000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</w:rPr>
        <w:t>（十三）广东高等教育高质量发展标准研究</w:t>
      </w:r>
    </w:p>
    <w:p w14:paraId="1A78452C" w14:textId="77777777" w:rsidR="001E0A87" w:rsidRDefault="00000000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（十四）广东高水平大学群体建设路径研究</w:t>
      </w:r>
    </w:p>
    <w:p w14:paraId="130268FA" w14:textId="77777777" w:rsidR="001E0A87" w:rsidRDefault="00000000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（十五）新型高水平理工科大</w:t>
      </w:r>
      <w:proofErr w:type="gramStart"/>
      <w:r>
        <w:rPr>
          <w:rFonts w:ascii="仿宋_GB2312" w:eastAsia="仿宋_GB2312" w:hint="eastAsia"/>
          <w:sz w:val="32"/>
          <w:szCs w:val="32"/>
          <w:lang w:bidi="ar"/>
        </w:rPr>
        <w:t>学建设</w:t>
      </w:r>
      <w:proofErr w:type="gramEnd"/>
      <w:r>
        <w:rPr>
          <w:rFonts w:ascii="仿宋_GB2312" w:eastAsia="仿宋_GB2312" w:hint="eastAsia"/>
          <w:sz w:val="32"/>
          <w:szCs w:val="32"/>
          <w:lang w:bidi="ar"/>
        </w:rPr>
        <w:t>的理论与实践研究</w:t>
      </w:r>
    </w:p>
    <w:p w14:paraId="5E81F6F1" w14:textId="77777777" w:rsidR="001E0A87" w:rsidRDefault="00000000">
      <w:pPr>
        <w:pStyle w:val="a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（十六）高水平师范大学建设路径研究</w:t>
      </w:r>
    </w:p>
    <w:p w14:paraId="3AEB5743" w14:textId="77777777" w:rsidR="001E0A87" w:rsidRDefault="00000000">
      <w:pPr>
        <w:pStyle w:val="a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（十七）新工科、新医科、新农科、新文科、新师范建设的广东模式研究</w:t>
      </w:r>
    </w:p>
    <w:p w14:paraId="717F8BC4" w14:textId="77777777" w:rsidR="001E0A87" w:rsidRDefault="00000000">
      <w:pPr>
        <w:pStyle w:val="a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（十八）广东本科专业建设质量提升路径研究</w:t>
      </w:r>
    </w:p>
    <w:p w14:paraId="4521C3A8" w14:textId="77777777" w:rsidR="001E0A8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（十九）广东本科高校教学质量监测体系建设研究</w:t>
      </w:r>
    </w:p>
    <w:p w14:paraId="3B5BDBC6" w14:textId="77777777" w:rsidR="001E0A8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（二十）广东研究生教育高质量发展路径研究</w:t>
      </w:r>
    </w:p>
    <w:p w14:paraId="4E0B094E" w14:textId="77777777" w:rsidR="001E0A8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（二十一）广东新工科助力制造业当家建设路径研究</w:t>
      </w:r>
    </w:p>
    <w:p w14:paraId="1870CF07" w14:textId="77777777" w:rsidR="001E0A87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（二十二）高水平科技自立自强与广东高校基础研究、应用基础研究优势发挥研究</w:t>
      </w:r>
    </w:p>
    <w:p w14:paraId="3AC30347" w14:textId="77777777" w:rsidR="001E0A87" w:rsidRDefault="00000000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</w:rPr>
        <w:t>（二十三）高等教育规划教材建设研究</w:t>
      </w:r>
    </w:p>
    <w:p w14:paraId="66619C6C" w14:textId="77777777" w:rsidR="001E0A87" w:rsidRDefault="00000000">
      <w:pPr>
        <w:spacing w:line="560" w:lineRule="exact"/>
        <w:ind w:firstLineChars="200" w:firstLine="640"/>
        <w:rPr>
          <w:rFonts w:ascii="仿宋_GB2312" w:eastAsia="黑体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三、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职业教育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高质量</w:t>
      </w: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发展研究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专项</w:t>
      </w:r>
    </w:p>
    <w:p w14:paraId="49BACF13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（二十四）广东高等职业教育高质量发展策略研究</w:t>
      </w:r>
    </w:p>
    <w:p w14:paraId="1EA6DEB3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（二十五）高等职业教育专业设置管理与预警机制研究</w:t>
      </w:r>
    </w:p>
    <w:p w14:paraId="02BA47D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（二十六）高等职业教育招生模式改革研究</w:t>
      </w:r>
    </w:p>
    <w:p w14:paraId="3F635355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  <w:lang w:bidi="ar"/>
        </w:rPr>
        <w:t>（二十七）高等职业学校教师专业发展研究</w:t>
      </w:r>
    </w:p>
    <w:p w14:paraId="6080B540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（二十八）高等职业教育服务乡村振兴研究</w:t>
      </w:r>
    </w:p>
    <w:p w14:paraId="44B65322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（二十九）职业本科教育改革发展研究</w:t>
      </w:r>
    </w:p>
    <w:p w14:paraId="21A014FF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（三十）职业教育制度执行监管机制研究</w:t>
      </w:r>
    </w:p>
    <w:p w14:paraId="155245B8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（三十一）地方政府职业教育绩效评价指标体系研究</w:t>
      </w:r>
    </w:p>
    <w:p w14:paraId="1049577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（三十二）</w:t>
      </w:r>
      <w:proofErr w:type="gramStart"/>
      <w:r>
        <w:rPr>
          <w:rFonts w:ascii="仿宋_GB2312" w:eastAsia="仿宋_GB2312" w:hint="eastAsia"/>
          <w:sz w:val="32"/>
          <w:szCs w:val="32"/>
          <w:lang w:bidi="ar"/>
        </w:rPr>
        <w:t>职普有机</w:t>
      </w:r>
      <w:proofErr w:type="gramEnd"/>
      <w:r>
        <w:rPr>
          <w:rFonts w:ascii="仿宋_GB2312" w:eastAsia="仿宋_GB2312" w:hint="eastAsia"/>
          <w:sz w:val="32"/>
          <w:szCs w:val="32"/>
          <w:lang w:bidi="ar"/>
        </w:rPr>
        <w:t>融通的机制研究</w:t>
      </w:r>
    </w:p>
    <w:p w14:paraId="68AD7633" w14:textId="77777777" w:rsidR="001E0A87" w:rsidRDefault="00000000">
      <w:pPr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  <w:lang w:bidi="ar"/>
        </w:rPr>
        <w:lastRenderedPageBreak/>
        <w:t>（三十三）职业教育规划教材建设研究</w:t>
      </w:r>
    </w:p>
    <w:p w14:paraId="619C7A0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  <w:lang w:bidi="ar"/>
        </w:rPr>
        <w:t>四、高等教育数字化研究专项</w:t>
      </w:r>
    </w:p>
    <w:p w14:paraId="4B02A09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（三十四）推进高等教育数字化策略研究</w:t>
      </w:r>
    </w:p>
    <w:p w14:paraId="3ED84562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（三十五）</w:t>
      </w:r>
      <w:r>
        <w:rPr>
          <w:rFonts w:ascii="仿宋_GB2312" w:eastAsia="仿宋_GB2312"/>
          <w:sz w:val="32"/>
          <w:szCs w:val="32"/>
        </w:rPr>
        <w:t>高等教育数字化</w:t>
      </w:r>
      <w:r>
        <w:rPr>
          <w:rFonts w:ascii="仿宋_GB2312" w:eastAsia="仿宋_GB2312" w:hint="eastAsia"/>
          <w:sz w:val="32"/>
          <w:szCs w:val="32"/>
        </w:rPr>
        <w:t>内涵与实现路径</w:t>
      </w:r>
      <w:r>
        <w:rPr>
          <w:rFonts w:ascii="仿宋_GB2312" w:eastAsia="仿宋_GB2312"/>
          <w:sz w:val="32"/>
          <w:szCs w:val="32"/>
        </w:rPr>
        <w:t>研究</w:t>
      </w:r>
    </w:p>
    <w:p w14:paraId="09EA89BC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（三十六）</w:t>
      </w:r>
      <w:r>
        <w:rPr>
          <w:rFonts w:ascii="仿宋_GB2312" w:eastAsia="仿宋_GB2312"/>
          <w:sz w:val="32"/>
          <w:szCs w:val="32"/>
        </w:rPr>
        <w:t>高等教育数字化课程资源开发研究</w:t>
      </w:r>
    </w:p>
    <w:p w14:paraId="05B2AF91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（三十七）</w:t>
      </w:r>
      <w:r>
        <w:rPr>
          <w:rFonts w:ascii="仿宋_GB2312" w:eastAsia="仿宋_GB2312"/>
          <w:sz w:val="32"/>
          <w:szCs w:val="32"/>
        </w:rPr>
        <w:t>惠及全民的高等教育数字化支撑体系应用示范研究</w:t>
      </w:r>
    </w:p>
    <w:p w14:paraId="3305FEF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（三十八）基于</w:t>
      </w:r>
      <w:r>
        <w:rPr>
          <w:rFonts w:ascii="仿宋_GB2312" w:eastAsia="仿宋_GB2312"/>
          <w:sz w:val="32"/>
          <w:szCs w:val="32"/>
        </w:rPr>
        <w:t>数字化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区域高等教育资源公共服务模式研究</w:t>
      </w:r>
    </w:p>
    <w:p w14:paraId="0813AA98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（三十九）</w:t>
      </w:r>
      <w:r>
        <w:rPr>
          <w:rFonts w:ascii="仿宋_GB2312" w:eastAsia="仿宋_GB2312"/>
          <w:sz w:val="32"/>
          <w:szCs w:val="32"/>
        </w:rPr>
        <w:t>高等教育数字化教学与学习方式变革及</w:t>
      </w:r>
      <w:r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影响因素研究</w:t>
      </w:r>
    </w:p>
    <w:p w14:paraId="758440AA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（四十）</w:t>
      </w:r>
      <w:r>
        <w:rPr>
          <w:rFonts w:ascii="仿宋_GB2312" w:eastAsia="仿宋_GB2312"/>
          <w:sz w:val="32"/>
          <w:szCs w:val="32"/>
        </w:rPr>
        <w:t>高等教育数字化促进继续教育创新与发展研究</w:t>
      </w:r>
    </w:p>
    <w:p w14:paraId="6DB1A37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（四十一）</w:t>
      </w:r>
      <w:r>
        <w:rPr>
          <w:rFonts w:ascii="仿宋_GB2312" w:eastAsia="仿宋_GB2312"/>
          <w:sz w:val="32"/>
          <w:szCs w:val="32"/>
        </w:rPr>
        <w:t>高等教育数字化与终身学习认证体系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研究</w:t>
      </w:r>
    </w:p>
    <w:p w14:paraId="52D98AE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（四十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）高等教育数字化发展与学术诚信问题研究</w:t>
      </w:r>
    </w:p>
    <w:p w14:paraId="7EB2F5C4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（四十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）高校人工智能与伦理教育的现状、挑战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对策研究</w:t>
      </w:r>
    </w:p>
    <w:p w14:paraId="328B5A56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（四十四）数字化背景下促进大学生健康成长成才策略研究</w:t>
      </w:r>
    </w:p>
    <w:p w14:paraId="27157215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五、高校德育与宣传思想工作研究</w:t>
      </w:r>
    </w:p>
    <w:p w14:paraId="7CC64520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（四十五）高校马克思主义理论课与德育课程教学改革研究</w:t>
      </w:r>
    </w:p>
    <w:p w14:paraId="5D56D0FD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（四十六）时代精神与高校道德教育改革研究</w:t>
      </w:r>
    </w:p>
    <w:p w14:paraId="669C5732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（四十七）大学生生命教育研究</w:t>
      </w:r>
    </w:p>
    <w:p w14:paraId="16C9F87A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（四十八）大学生社会责任感现状及其提升研究</w:t>
      </w:r>
    </w:p>
    <w:p w14:paraId="5D4E1598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lastRenderedPageBreak/>
        <w:t>（四十九）推进大中小学思想政治教育一体化建设研究</w:t>
      </w:r>
    </w:p>
    <w:p w14:paraId="179F47AE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（五十）高校师德师风建设与考核机制研究</w:t>
      </w:r>
    </w:p>
    <w:p w14:paraId="548DA16C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（五十一）高校学风建设与学术规范教育研究</w:t>
      </w:r>
    </w:p>
    <w:p w14:paraId="58768373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（五十二）高校意识形态工作与高校改革发展稳定研究</w:t>
      </w:r>
    </w:p>
    <w:p w14:paraId="559DBD1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（五十三）加强高校全媒体传播体系建设研究</w:t>
      </w:r>
    </w:p>
    <w:p w14:paraId="1F6C5E9F" w14:textId="77777777" w:rsidR="001E0A87" w:rsidRDefault="00000000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（五十四）塑造高校主流舆论新格局与加强国际传播能力建设研究</w:t>
      </w:r>
    </w:p>
    <w:p w14:paraId="1B76BAE1" w14:textId="77777777" w:rsidR="001E0A87" w:rsidRDefault="00000000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六、高校教师教学发展研究专项</w:t>
      </w:r>
    </w:p>
    <w:p w14:paraId="34EBF74C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（五十五）深化高校教师教学发展中心运作机制改革研究</w:t>
      </w:r>
    </w:p>
    <w:p w14:paraId="5B7AE2DE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（五十六）高校教师教学发展中心专业化建设路径研究</w:t>
      </w:r>
    </w:p>
    <w:p w14:paraId="145E4AB3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（五十七）高校院系教师教学发展分中心的组织运行研究</w:t>
      </w:r>
    </w:p>
    <w:p w14:paraId="006465A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（五十八）高校教师教学发展中心工作人员胜任力研究</w:t>
      </w:r>
    </w:p>
    <w:p w14:paraId="269CB374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（五十九）数字化转型背景下高校教师教学发展研究</w:t>
      </w:r>
    </w:p>
    <w:p w14:paraId="649D1F50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（六十）高校新教师教学发展方案制定研究</w:t>
      </w:r>
    </w:p>
    <w:p w14:paraId="7AC734CC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（六十一）高校教师教学发展方案分级课程开发与设计研究</w:t>
      </w:r>
    </w:p>
    <w:p w14:paraId="47417629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（六十二）高校教师教学培训与课堂变革一体化研究</w:t>
      </w:r>
    </w:p>
    <w:p w14:paraId="355EED12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（六十三）高校混合式教学培训的理论与实践研究</w:t>
      </w:r>
    </w:p>
    <w:p w14:paraId="15B98DC7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（六十四）高校教师教学学术能力发展态势和机制构建研究</w:t>
      </w:r>
    </w:p>
    <w:p w14:paraId="0A80D4A7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（六十五）高校教师教学发展全周期培养制度研究</w:t>
      </w:r>
    </w:p>
    <w:p w14:paraId="0B6AB77B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（六十六）高校教师教学发展共同体建设策略研究</w:t>
      </w:r>
    </w:p>
    <w:p w14:paraId="180D8EA0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（六十七）新工科、新医科、新农科、新文科、新师范建设背景下的虚拟教研（虚拟教研室）体制机制建设研究</w:t>
      </w:r>
    </w:p>
    <w:p w14:paraId="5B2558A7" w14:textId="77777777" w:rsidR="001E0A8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（六十八）高校教师专业发展档案建设研究</w:t>
      </w:r>
    </w:p>
    <w:p w14:paraId="42C6F847" w14:textId="77777777" w:rsidR="001E0A87" w:rsidRDefault="001E0A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p w14:paraId="662F8E10" w14:textId="77777777" w:rsidR="001E0A87" w:rsidRDefault="001E0A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p w14:paraId="4969E696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7EBFDC1C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216C1349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4A2CADC3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2F12EE4D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044CDF5C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142188AB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6584BD18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30572BAB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1B3312D2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1165B1A6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055CD8FE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55FD37C7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6E51AD46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4E714A6B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6B40CB9A" w14:textId="77777777" w:rsidR="001E0A87" w:rsidRDefault="001E0A87">
      <w:pPr>
        <w:pStyle w:val="a0"/>
        <w:rPr>
          <w:rFonts w:ascii="仿宋_GB2312" w:eastAsia="仿宋_GB2312"/>
          <w:sz w:val="32"/>
          <w:szCs w:val="32"/>
          <w:lang w:bidi="ar"/>
        </w:rPr>
      </w:pPr>
    </w:p>
    <w:p w14:paraId="0FC6CA6B" w14:textId="77777777" w:rsidR="001E0A87" w:rsidRPr="00BD5E81" w:rsidRDefault="001E0A87">
      <w:pPr>
        <w:spacing w:line="56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E0A87" w:rsidRPr="00BD5E81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1729" w14:textId="77777777" w:rsidR="00CC4989" w:rsidRDefault="00CC4989">
      <w:r>
        <w:separator/>
      </w:r>
    </w:p>
  </w:endnote>
  <w:endnote w:type="continuationSeparator" w:id="0">
    <w:p w14:paraId="6AF00102" w14:textId="77777777" w:rsidR="00CC4989" w:rsidRDefault="00C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F28" w14:textId="77777777" w:rsidR="001E0A87" w:rsidRDefault="00000000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0754" w14:textId="77777777" w:rsidR="001E0A87" w:rsidRDefault="00000000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5361F4FC" w14:textId="77777777" w:rsidR="001E0A87" w:rsidRDefault="001E0A8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D9E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15A6" w14:textId="77777777" w:rsidR="00CC4989" w:rsidRDefault="00CC4989">
      <w:r>
        <w:separator/>
      </w:r>
    </w:p>
  </w:footnote>
  <w:footnote w:type="continuationSeparator" w:id="0">
    <w:p w14:paraId="2C777BBF" w14:textId="77777777" w:rsidR="00CC4989" w:rsidRDefault="00CC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8574310">
    <w:abstractNumId w:val="1"/>
  </w:num>
  <w:num w:numId="2" w16cid:durableId="14922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414F"/>
    <w:rsid w:val="00154D77"/>
    <w:rsid w:val="00171AD0"/>
    <w:rsid w:val="001B1E87"/>
    <w:rsid w:val="001E03F5"/>
    <w:rsid w:val="001E0A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41ADD"/>
    <w:rsid w:val="00345D5B"/>
    <w:rsid w:val="00364D54"/>
    <w:rsid w:val="00390FBE"/>
    <w:rsid w:val="00394A45"/>
    <w:rsid w:val="003A0CEA"/>
    <w:rsid w:val="003A6142"/>
    <w:rsid w:val="003A7855"/>
    <w:rsid w:val="003B13E7"/>
    <w:rsid w:val="003B6443"/>
    <w:rsid w:val="003C12EB"/>
    <w:rsid w:val="003E5FED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54BDD"/>
    <w:rsid w:val="00763D9A"/>
    <w:rsid w:val="007B28D0"/>
    <w:rsid w:val="007D1F75"/>
    <w:rsid w:val="007E5FE4"/>
    <w:rsid w:val="00855D5A"/>
    <w:rsid w:val="00860C29"/>
    <w:rsid w:val="008867AF"/>
    <w:rsid w:val="008C77F7"/>
    <w:rsid w:val="00902E35"/>
    <w:rsid w:val="0093197A"/>
    <w:rsid w:val="00960501"/>
    <w:rsid w:val="009623B9"/>
    <w:rsid w:val="00984411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BD5E81"/>
    <w:rsid w:val="00C00FF6"/>
    <w:rsid w:val="00C0181E"/>
    <w:rsid w:val="00C039BD"/>
    <w:rsid w:val="00C402CD"/>
    <w:rsid w:val="00C535A9"/>
    <w:rsid w:val="00CA67E8"/>
    <w:rsid w:val="00CC43D5"/>
    <w:rsid w:val="00CC4989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076CB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701"/>
  <w15:docId w15:val="{BAF8107E-D74E-49D1-8EC3-2F10BD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154D7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鲸 喜</cp:lastModifiedBy>
  <cp:revision>63</cp:revision>
  <cp:lastPrinted>2022-03-02T08:00:00Z</cp:lastPrinted>
  <dcterms:created xsi:type="dcterms:W3CDTF">2021-05-19T04:08:00Z</dcterms:created>
  <dcterms:modified xsi:type="dcterms:W3CDTF">2023-04-27T10:50:00Z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