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仿宋" w:eastAsia="方正小标宋简体" w:cs="Calibri"/>
          <w:bCs/>
          <w:color w:val="000000"/>
          <w:sz w:val="44"/>
          <w:szCs w:val="44"/>
        </w:rPr>
      </w:pPr>
      <w:bookmarkStart w:id="0" w:name="_GoBack"/>
      <w:r>
        <w:rPr>
          <w:rFonts w:hint="default" w:ascii="方正小标宋简体" w:hAnsi="仿宋" w:eastAsia="方正小标宋简体" w:cs="Calibri"/>
          <w:bCs/>
          <w:color w:val="000000"/>
          <w:sz w:val="44"/>
          <w:szCs w:val="44"/>
        </w:rPr>
        <w:t>2022年广州市科协科普经费计划项目立项项目的公示</w:t>
      </w:r>
    </w:p>
    <w:bookmarkEnd w:id="0"/>
    <w:p>
      <w:pPr>
        <w:spacing w:line="560" w:lineRule="exact"/>
        <w:jc w:val="center"/>
        <w:rPr>
          <w:rFonts w:hint="eastAsia" w:ascii="方正小标宋简体" w:hAnsi="仿宋" w:eastAsia="方正小标宋简体" w:cs="Calibri"/>
          <w:bCs/>
          <w:color w:val="000000"/>
          <w:sz w:val="44"/>
          <w:szCs w:val="4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经市十六届人大一次会议审议通过我会预算，结合我会项目立项采取</w:t>
      </w:r>
      <w:r>
        <w:rPr>
          <w:rFonts w:hint="default" w:ascii="仿宋_GB2312" w:hAnsi="仿宋_GB2312" w:eastAsia="仿宋_GB2312" w:cs="仿宋_GB2312"/>
          <w:kern w:val="2"/>
          <w:sz w:val="32"/>
          <w:szCs w:val="32"/>
          <w:lang w:val="en-US" w:eastAsia="zh-CN" w:bidi="ar-SA"/>
        </w:rPr>
        <w:t>“公开申报、前置审核、专家评审、会议研究”的程序确定立项明细。拟确定立项项目62项（详见附件），现予以公示，公示期为7天（2022年3月1日至3月7日）。期间如有异议，请与项目工作人员联系，具体如下：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1.除K20220701和K20220702项目以外的其他项目，联系部门：市科协科学普及部，联系人：郑一宇，联系电话：61106521。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2.项目编号为K20220701，联系部门：市科协学会学术部，联系人：于平、许友国，联系电话：61106395、61106278。</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3.项目编号为K20220702，联系部门：市科协国际交流部，联系人：郑海燕，联系电话：61106233。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8"/>
        <w:shd w:val="clear" w:color="auto" w:fill="FFFFFF"/>
        <w:spacing w:before="0" w:beforeAutospacing="0" w:after="0" w:afterAutospacing="0" w:line="560" w:lineRule="exact"/>
        <w:ind w:left="1918" w:leftChars="304" w:hanging="1280" w:hangingChars="4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附件：</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"https://www.gzast.org.cn/data/attached/files/20220303/1646300464317037480.docx" \o "2022年广州市科协科普经费计划项目立项项目表.docx"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2022年广州市科协科普经费计划项目立项项目表</w:t>
      </w:r>
      <w:r>
        <w:rPr>
          <w:rFonts w:hint="default" w:ascii="仿宋_GB2312" w:hAnsi="仿宋_GB2312" w:eastAsia="仿宋_GB2312" w:cs="仿宋_GB2312"/>
          <w:sz w:val="32"/>
          <w:szCs w:val="32"/>
        </w:rPr>
        <w:fldChar w:fldCharType="end"/>
      </w:r>
    </w:p>
    <w:p>
      <w:pPr>
        <w:pStyle w:val="8"/>
        <w:shd w:val="clear" w:color="auto" w:fill="FFFFFF"/>
        <w:spacing w:before="0" w:beforeAutospacing="0" w:after="0" w:afterAutospacing="0" w:line="560" w:lineRule="exact"/>
        <w:ind w:left="1918" w:leftChars="304" w:hanging="1280" w:hangingChars="400"/>
        <w:jc w:val="both"/>
        <w:rPr>
          <w:rFonts w:hint="default" w:ascii="仿宋_GB2312" w:hAnsi="仿宋_GB2312" w:eastAsia="仿宋_GB2312" w:cs="仿宋_GB2312"/>
          <w:sz w:val="32"/>
          <w:szCs w:val="32"/>
        </w:rPr>
      </w:pPr>
    </w:p>
    <w:p>
      <w:pPr>
        <w:pStyle w:val="8"/>
        <w:shd w:val="clear" w:color="auto" w:fill="FFFFFF"/>
        <w:spacing w:before="0" w:beforeAutospacing="0" w:after="0" w:afterAutospacing="0" w:line="560" w:lineRule="exact"/>
        <w:ind w:left="1918" w:leftChars="304" w:hanging="1280" w:hangingChars="400"/>
        <w:jc w:val="both"/>
        <w:rPr>
          <w:rFonts w:hint="default" w:ascii="仿宋_GB2312" w:hAnsi="仿宋_GB2312" w:eastAsia="仿宋_GB2312" w:cs="仿宋_GB2312"/>
          <w:sz w:val="32"/>
          <w:szCs w:val="32"/>
        </w:rPr>
      </w:pPr>
    </w:p>
    <w:p>
      <w:pPr>
        <w:pStyle w:val="8"/>
        <w:shd w:val="clear" w:color="auto" w:fill="FFFFFF"/>
        <w:spacing w:before="0" w:beforeAutospacing="0" w:after="0" w:afterAutospacing="0" w:line="560" w:lineRule="exact"/>
        <w:ind w:left="1918" w:leftChars="304" w:hanging="1280" w:hangingChars="400"/>
        <w:jc w:val="both"/>
        <w:rPr>
          <w:rFonts w:hint="default" w:ascii="仿宋_GB2312" w:hAnsi="仿宋_GB2312" w:eastAsia="仿宋_GB2312" w:cs="仿宋_GB2312"/>
          <w:sz w:val="32"/>
          <w:szCs w:val="32"/>
        </w:rPr>
      </w:pPr>
    </w:p>
    <w:p>
      <w:pPr>
        <w:spacing w:line="560" w:lineRule="exact"/>
        <w:ind w:right="840" w:rightChars="400"/>
        <w:jc w:val="right"/>
        <w:rPr>
          <w:rFonts w:hint="eastAsia" w:ascii="仿宋_GB2312" w:hAnsi="仿宋_GB2312" w:eastAsia="仿宋_GB2312" w:cs="仿宋_GB2312"/>
          <w:sz w:val="32"/>
          <w:szCs w:val="32"/>
        </w:rPr>
      </w:pPr>
      <w:r>
        <w:rPr>
          <w:rFonts w:hint="default" w:ascii="仿宋_GB2312" w:hAnsi="Arial" w:eastAsia="仿宋_GB2312" w:cs="仿宋_GB2312"/>
          <w:i w:val="0"/>
          <w:iCs w:val="0"/>
          <w:caps w:val="0"/>
          <w:color w:val="444444"/>
          <w:spacing w:val="0"/>
          <w:sz w:val="31"/>
          <w:szCs w:val="31"/>
          <w:shd w:val="clear" w:fill="FFFFFF"/>
        </w:rPr>
        <w:t> </w:t>
      </w:r>
      <w:r>
        <w:rPr>
          <w:rFonts w:hint="default" w:ascii="仿宋_GB2312" w:hAnsi="仿宋_GB2312" w:eastAsia="仿宋_GB2312" w:cs="仿宋_GB2312"/>
          <w:sz w:val="32"/>
          <w:szCs w:val="32"/>
        </w:rPr>
        <w:t>广州市科学技术协会</w:t>
      </w:r>
    </w:p>
    <w:p>
      <w:pPr>
        <w:spacing w:line="560" w:lineRule="exact"/>
        <w:ind w:right="840" w:rightChars="400"/>
        <w:jc w:val="righ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2022年3月1日</w:t>
      </w:r>
    </w:p>
    <w:p>
      <w:pPr>
        <w:spacing w:line="560" w:lineRule="exact"/>
        <w:ind w:right="840" w:rightChars="400"/>
        <w:jc w:val="right"/>
        <w:rPr>
          <w:rFonts w:hint="default" w:ascii="仿宋_GB2312" w:hAnsi="仿宋_GB2312" w:eastAsia="仿宋_GB2312" w:cs="仿宋_GB2312"/>
          <w:sz w:val="32"/>
          <w:szCs w:val="32"/>
        </w:rPr>
      </w:pPr>
    </w:p>
    <w:p>
      <w:pPr>
        <w:spacing w:line="560" w:lineRule="exact"/>
        <w:ind w:right="840" w:rightChars="400"/>
        <w:jc w:val="right"/>
        <w:rPr>
          <w:rFonts w:hint="eastAsia" w:ascii="仿宋_GB2312" w:hAnsi="仿宋_GB2312" w:eastAsia="仿宋_GB2312" w:cs="仿宋_GB2312"/>
          <w:sz w:val="32"/>
          <w:szCs w:val="32"/>
        </w:rPr>
      </w:pPr>
    </w:p>
    <w:tbl>
      <w:tblPr>
        <w:tblStyle w:val="4"/>
        <w:tblW w:w="8764" w:type="dxa"/>
        <w:jc w:val="center"/>
        <w:tblLayout w:type="fixed"/>
        <w:tblCellMar>
          <w:top w:w="0" w:type="dxa"/>
          <w:left w:w="0" w:type="dxa"/>
          <w:bottom w:w="0" w:type="dxa"/>
          <w:right w:w="0" w:type="dxa"/>
        </w:tblCellMar>
      </w:tblPr>
      <w:tblGrid>
        <w:gridCol w:w="522"/>
        <w:gridCol w:w="1569"/>
        <w:gridCol w:w="3870"/>
        <w:gridCol w:w="2803"/>
      </w:tblGrid>
      <w:tr>
        <w:tblPrEx>
          <w:tblCellMar>
            <w:top w:w="0" w:type="dxa"/>
            <w:left w:w="0" w:type="dxa"/>
            <w:bottom w:w="0" w:type="dxa"/>
            <w:right w:w="0" w:type="dxa"/>
          </w:tblCellMar>
        </w:tblPrEx>
        <w:trPr>
          <w:trHeight w:val="560" w:hRule="atLeast"/>
          <w:jc w:val="center"/>
        </w:trPr>
        <w:tc>
          <w:tcPr>
            <w:tcW w:w="2091" w:type="dxa"/>
            <w:gridSpan w:val="2"/>
            <w:tcBorders>
              <w:top w:val="nil"/>
              <w:left w:val="nil"/>
              <w:bottom w:val="nil"/>
              <w:right w:val="nil"/>
            </w:tcBorders>
            <w:noWrap/>
            <w:tcMar>
              <w:top w:w="15" w:type="dxa"/>
              <w:left w:w="15" w:type="dxa"/>
              <w:right w:w="15" w:type="dxa"/>
            </w:tcMar>
            <w:vAlign w:val="bottom"/>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cs="Calibri"/>
                <w:color w:val="000000"/>
                <w:sz w:val="22"/>
                <w:szCs w:val="22"/>
              </w:rPr>
            </w:pPr>
            <w:r>
              <w:rPr>
                <w:rFonts w:hint="default" w:ascii="仿宋_GB2312" w:hAnsi="仿宋_GB2312" w:eastAsia="仿宋_GB2312" w:cs="仿宋_GB2312"/>
                <w:b/>
                <w:bCs/>
                <w:kern w:val="2"/>
                <w:sz w:val="32"/>
                <w:szCs w:val="32"/>
                <w:lang w:val="en-US" w:eastAsia="zh-CN" w:bidi="ar-SA"/>
              </w:rPr>
              <w:t>附件</w:t>
            </w:r>
          </w:p>
        </w:tc>
        <w:tc>
          <w:tcPr>
            <w:tcW w:w="3870" w:type="dxa"/>
            <w:tcBorders>
              <w:top w:val="nil"/>
              <w:left w:val="nil"/>
              <w:bottom w:val="nil"/>
              <w:right w:val="nil"/>
            </w:tcBorders>
            <w:tcMar>
              <w:top w:w="15" w:type="dxa"/>
              <w:left w:w="15" w:type="dxa"/>
              <w:right w:w="15" w:type="dxa"/>
            </w:tcMar>
            <w:vAlign w:val="bottom"/>
          </w:tcPr>
          <w:p>
            <w:pPr>
              <w:rPr>
                <w:rFonts w:cs="Calibri"/>
                <w:color w:val="000000"/>
                <w:sz w:val="22"/>
                <w:szCs w:val="22"/>
              </w:rPr>
            </w:pPr>
          </w:p>
        </w:tc>
        <w:tc>
          <w:tcPr>
            <w:tcW w:w="2803" w:type="dxa"/>
            <w:tcBorders>
              <w:top w:val="nil"/>
              <w:left w:val="nil"/>
              <w:bottom w:val="nil"/>
              <w:right w:val="nil"/>
            </w:tcBorders>
            <w:tcMar>
              <w:top w:w="15" w:type="dxa"/>
              <w:left w:w="15" w:type="dxa"/>
              <w:right w:w="15" w:type="dxa"/>
            </w:tcMar>
            <w:vAlign w:val="bottom"/>
          </w:tcPr>
          <w:p>
            <w:pPr>
              <w:rPr>
                <w:rFonts w:cs="Calibri"/>
                <w:color w:val="000000"/>
                <w:sz w:val="22"/>
                <w:szCs w:val="22"/>
              </w:rPr>
            </w:pPr>
          </w:p>
        </w:tc>
      </w:tr>
      <w:tr>
        <w:tblPrEx>
          <w:tblCellMar>
            <w:top w:w="0" w:type="dxa"/>
            <w:left w:w="0" w:type="dxa"/>
            <w:bottom w:w="0" w:type="dxa"/>
            <w:right w:w="0" w:type="dxa"/>
          </w:tblCellMar>
        </w:tblPrEx>
        <w:trPr>
          <w:trHeight w:val="980" w:hRule="atLeast"/>
          <w:jc w:val="center"/>
        </w:trPr>
        <w:tc>
          <w:tcPr>
            <w:tcW w:w="8764"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仿宋_GB2312" w:hAnsi="仿宋_GB2312" w:eastAsia="仿宋_GB2312" w:cs="仿宋_GB2312"/>
                <w:b/>
                <w:bCs/>
                <w:kern w:val="2"/>
                <w:sz w:val="32"/>
                <w:szCs w:val="32"/>
                <w:lang w:val="en-US" w:eastAsia="zh-CN" w:bidi="ar-SA"/>
              </w:rPr>
              <w:t>2022年广州市科协科普经费计划项目立项项目表</w:t>
            </w:r>
          </w:p>
        </w:tc>
      </w:tr>
      <w:tr>
        <w:tblPrEx>
          <w:tblCellMar>
            <w:top w:w="0" w:type="dxa"/>
            <w:left w:w="0" w:type="dxa"/>
            <w:bottom w:w="0" w:type="dxa"/>
            <w:right w:w="0" w:type="dxa"/>
          </w:tblCellMar>
        </w:tblPrEx>
        <w:trPr>
          <w:trHeight w:val="740"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项目编号</w:t>
            </w:r>
          </w:p>
          <w:p>
            <w:pPr>
              <w:widowControl/>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（合同编号）</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项目名称</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申报单位</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sz w:val="32"/>
              </w:rPr>
              <mc:AlternateContent>
                <mc:Choice Requires="wps">
                  <w:drawing>
                    <wp:anchor distT="0" distB="0" distL="114300" distR="114300" simplePos="0" relativeHeight="251659264" behindDoc="0" locked="0" layoutInCell="1" allowOverlap="1">
                      <wp:simplePos x="0" y="0"/>
                      <wp:positionH relativeFrom="column">
                        <wp:posOffset>-254000</wp:posOffset>
                      </wp:positionH>
                      <wp:positionV relativeFrom="paragraph">
                        <wp:posOffset>769620</wp:posOffset>
                      </wp:positionV>
                      <wp:extent cx="5886450" cy="847725"/>
                      <wp:effectExtent l="9525" t="9525" r="9525" b="19050"/>
                      <wp:wrapNone/>
                      <wp:docPr id="2" name="椭圆 2"/>
                      <wp:cNvGraphicFramePr/>
                      <a:graphic xmlns:a="http://schemas.openxmlformats.org/drawingml/2006/main">
                        <a:graphicData uri="http://schemas.microsoft.com/office/word/2010/wordprocessingShape">
                          <wps:wsp>
                            <wps:cNvSpPr/>
                            <wps:spPr>
                              <a:xfrm>
                                <a:off x="734060" y="4355465"/>
                                <a:ext cx="5886450" cy="847725"/>
                              </a:xfrm>
                              <a:prstGeom prst="ellipse">
                                <a:avLst/>
                              </a:prstGeom>
                              <a:noFill/>
                              <a:ln w="1905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pt;margin-top:60.6pt;height:66.75pt;width:463.5pt;z-index:251659264;v-text-anchor:middle;mso-width-relative:page;mso-height-relative:page;" filled="f" stroked="t" coordsize="21600,21600" o:gfxdata="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cIiyzdcAAAALAQAADwAAAAAAAAABACAAAAAiAAAAZHJzL2Rvd25yZXYu&#10;eG1sUEsBAhQAFAAAAAgAh07iQEq0IPfgAgAAzAUAAA4AAAAAAAAAAQAgAAAAJgEAAGRycy9lMm9E&#10;b2MueG1sUEsFBgAAAAAGAAYAWQEAAHgGAAAAAA==&#10;">
                      <v:fill on="f" focussize="0,0"/>
                      <v:stroke weight="1.5pt" color="#FF0000 [3204]"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kern w:val="2"/>
                <w:sz w:val="32"/>
                <w:szCs w:val="32"/>
                <w:lang w:val="en-US" w:eastAsia="zh-CN" w:bidi="ar-SA"/>
              </w:rPr>
              <w:t>1</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南方医科大学实施“广州科普特色村建设”项目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广州南方学院实施温泉镇科普特色村项目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广州南方学院</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广州医科大学附属第一医院实施“广州市科普特色村建设”项目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广州医科大学附属第一医院</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广东科技报社实施广州市科普特色村建设项目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广东科技报社有限责任公司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威凯检测技术有限公司实施“广州市科普特色村建设”项目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威凯检测技术有限公司</w:t>
            </w:r>
          </w:p>
        </w:tc>
      </w:tr>
      <w:tr>
        <w:tblPrEx>
          <w:tblCellMar>
            <w:top w:w="0" w:type="dxa"/>
            <w:left w:w="0" w:type="dxa"/>
            <w:bottom w:w="0" w:type="dxa"/>
            <w:right w:w="0" w:type="dxa"/>
          </w:tblCellMar>
        </w:tblPrEx>
        <w:trPr>
          <w:trHeight w:val="8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都市现代农业价值创新园——天鹿鹿湖生物土壤资源科普小镇</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广东南方创意文旅产业投资股份有限公司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广东省科学院工业分析检测中心实施“广州市科普小镇建设”项目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广东省科学院工业分析检测中心</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K20220102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广州友生农业科技有限公司实施“广州市科普小镇建设”项目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广州友生农业科技有限公司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中山大学附属南沙医院实施“科普进社区党群服务中心”项目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中山大学附属南沙医院</w:t>
            </w:r>
          </w:p>
        </w:tc>
      </w:tr>
      <w:tr>
        <w:tblPrEx>
          <w:tblCellMar>
            <w:top w:w="0" w:type="dxa"/>
            <w:left w:w="0" w:type="dxa"/>
            <w:bottom w:w="0" w:type="dxa"/>
            <w:right w:w="0"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广州永拓信息科技有限公司实施2022年科普进社区党群服务中心项目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广州永拓信息科技有限公司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广东环亚美容化妆品博物馆实施“科普进社区党群服务中心”项目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广东环亚美容化妆品博物馆</w:t>
            </w:r>
          </w:p>
        </w:tc>
      </w:tr>
      <w:tr>
        <w:tblPrEx>
          <w:tblCellMar>
            <w:top w:w="0" w:type="dxa"/>
            <w:left w:w="0" w:type="dxa"/>
            <w:bottom w:w="0" w:type="dxa"/>
            <w:right w:w="0" w:type="dxa"/>
          </w:tblCellMar>
        </w:tblPrEx>
        <w:trPr>
          <w:trHeight w:val="77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中山大学附属第一医院实施科普进社区党群服务中心项目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中山大学附属第一医院</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广州刘金山地质科普有限公司实施“科普进社区党群服务中心”项目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广州刘金山地质科普有限公司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中山六院实施“科普进社区党群服务中心”项目——认知障碍与脑健康管理科普宣教活动“记忆有爱相伴，智慧点亮生活”</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中山大学附属第六医院</w:t>
            </w:r>
          </w:p>
        </w:tc>
      </w:tr>
      <w:tr>
        <w:tblPrEx>
          <w:tblCellMar>
            <w:top w:w="0" w:type="dxa"/>
            <w:left w:w="0" w:type="dxa"/>
            <w:bottom w:w="0" w:type="dxa"/>
            <w:right w:w="0" w:type="dxa"/>
          </w:tblCellMar>
        </w:tblPrEx>
        <w:trPr>
          <w:trHeight w:val="70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广州市番禺有线数字电视网络有限公司实施“科普进社区党群服务中心”项目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广州市番禺有线数字电视网络有限公司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广州市壹鹏文化发展有限公司实施“科普进社区党群服务中心”项目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广州市壹鹏文化发展有限公司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科普进社区党群服务中心项目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广州市时报微信息科技有限公司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南方医科大学南方医院实施白云区社区老年人骨质疏松防治普及推进工程</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南方医科大学南方医院</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K20220201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广州医科大学附属第三医院实施“围产期保健科普知识进社区党群服务中心”项目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广州医科大学附属第三医院</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K20220301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广州市智慧河教育科技有限公司实施“千师万苗工程——“我是创客+”项目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广州市智慧河教育科技有限公司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K20220301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“重现奇珍异兽，探秘远古自然”古生物主题木工模型拼装与科普互动创客项目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K20220301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千师万苗工程——“我是创客+”活动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广州大学</w:t>
            </w:r>
          </w:p>
        </w:tc>
      </w:tr>
      <w:tr>
        <w:tblPrEx>
          <w:tblCellMar>
            <w:top w:w="0" w:type="dxa"/>
            <w:left w:w="0" w:type="dxa"/>
            <w:bottom w:w="0" w:type="dxa"/>
            <w:right w:w="0" w:type="dxa"/>
          </w:tblCellMar>
        </w:tblPrEx>
        <w:trPr>
          <w:trHeight w:val="59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K20220301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广州飞域智能科技有限公司实施千师万苗工程——“我是创客+”无人机体验活动项目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广州飞域智能科技有限公司</w:t>
            </w:r>
          </w:p>
        </w:tc>
      </w:tr>
      <w:tr>
        <w:tblPrEx>
          <w:tblCellMar>
            <w:top w:w="0" w:type="dxa"/>
            <w:left w:w="0" w:type="dxa"/>
            <w:bottom w:w="0" w:type="dxa"/>
            <w:right w:w="0" w:type="dxa"/>
          </w:tblCellMar>
        </w:tblPrEx>
        <w:trPr>
          <w:trHeight w:val="545" w:hRule="atLeast"/>
          <w:jc w:val="center"/>
        </w:trPr>
        <w:tc>
          <w:tcPr>
            <w:tcW w:w="5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w:t>
            </w:r>
          </w:p>
        </w:tc>
        <w:tc>
          <w:tcPr>
            <w:tcW w:w="156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K20220302</w:t>
            </w:r>
          </w:p>
        </w:tc>
        <w:tc>
          <w:tcPr>
            <w:tcW w:w="38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千师万苗工程——“栽种未来”</w:t>
            </w:r>
          </w:p>
        </w:tc>
        <w:tc>
          <w:tcPr>
            <w:tcW w:w="2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广州市农业科学研究院</w:t>
            </w:r>
          </w:p>
        </w:tc>
      </w:tr>
      <w:tr>
        <w:tblPrEx>
          <w:tblCellMar>
            <w:top w:w="0" w:type="dxa"/>
            <w:left w:w="0" w:type="dxa"/>
            <w:bottom w:w="0" w:type="dxa"/>
            <w:right w:w="0" w:type="dxa"/>
          </w:tblCellMar>
        </w:tblPrEx>
        <w:trPr>
          <w:trHeight w:val="8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25</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K20220303</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“科技之光”科普巡展项目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广州市头脑奥林匹克协会</w:t>
            </w:r>
          </w:p>
        </w:tc>
      </w:tr>
      <w:tr>
        <w:tblPrEx>
          <w:tblCellMar>
            <w:top w:w="0" w:type="dxa"/>
            <w:left w:w="0" w:type="dxa"/>
            <w:bottom w:w="0" w:type="dxa"/>
            <w:right w:w="0" w:type="dxa"/>
          </w:tblCellMar>
        </w:tblPrEx>
        <w:trPr>
          <w:trHeight w:val="65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K20220401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《2022广州市领导干部和公务员科学素质读物》编写项目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广州市博士科技创新研究会</w:t>
            </w:r>
          </w:p>
        </w:tc>
      </w:tr>
      <w:tr>
        <w:tblPrEx>
          <w:tblCellMar>
            <w:top w:w="0" w:type="dxa"/>
            <w:left w:w="0" w:type="dxa"/>
            <w:bottom w:w="0" w:type="dxa"/>
            <w:right w:w="0" w:type="dxa"/>
          </w:tblCellMar>
        </w:tblPrEx>
        <w:trPr>
          <w:trHeight w:val="66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K20220402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制作领导干部和公务员科学素质慕课堂微视频项目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广州喜扬扬传媒有限公司</w:t>
            </w:r>
          </w:p>
        </w:tc>
      </w:tr>
      <w:tr>
        <w:tblPrEx>
          <w:tblCellMar>
            <w:top w:w="0" w:type="dxa"/>
            <w:left w:w="0" w:type="dxa"/>
            <w:bottom w:w="0" w:type="dxa"/>
            <w:right w:w="0" w:type="dxa"/>
          </w:tblCellMar>
        </w:tblPrEx>
        <w:trPr>
          <w:trHeight w:val="74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K20220501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《科协进行时》科普传播项目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广州日报报业经营有限公司</w:t>
            </w:r>
          </w:p>
        </w:tc>
      </w:tr>
      <w:tr>
        <w:tblPrEx>
          <w:tblCellMar>
            <w:top w:w="0" w:type="dxa"/>
            <w:left w:w="0" w:type="dxa"/>
            <w:bottom w:w="0" w:type="dxa"/>
            <w:right w:w="0" w:type="dxa"/>
          </w:tblCellMar>
        </w:tblPrEx>
        <w:trPr>
          <w:trHeight w:val="69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K20220502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《科技公开课》科普宣传项目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广州日报报业经营有限公司</w:t>
            </w:r>
          </w:p>
        </w:tc>
      </w:tr>
      <w:tr>
        <w:tblPrEx>
          <w:tblCellMar>
            <w:top w:w="0" w:type="dxa"/>
            <w:left w:w="0" w:type="dxa"/>
            <w:bottom w:w="0" w:type="dxa"/>
            <w:right w:w="0" w:type="dxa"/>
          </w:tblCellMar>
        </w:tblPrEx>
        <w:trPr>
          <w:trHeight w:val="51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K20220503</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广州科普大讲坛项目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广州市广播电视台</w:t>
            </w:r>
          </w:p>
        </w:tc>
      </w:tr>
      <w:tr>
        <w:tblPrEx>
          <w:tblCellMar>
            <w:top w:w="0" w:type="dxa"/>
            <w:left w:w="0" w:type="dxa"/>
            <w:bottom w:w="0" w:type="dxa"/>
            <w:right w:w="0" w:type="dxa"/>
          </w:tblCellMar>
        </w:tblPrEx>
        <w:trPr>
          <w:trHeight w:val="52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K20220504</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科普剧本体验项目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北京网易传媒有限公司广州分公司</w:t>
            </w:r>
          </w:p>
        </w:tc>
      </w:tr>
      <w:tr>
        <w:tblPrEx>
          <w:tblCellMar>
            <w:top w:w="0" w:type="dxa"/>
            <w:left w:w="0" w:type="dxa"/>
            <w:bottom w:w="0" w:type="dxa"/>
            <w:right w:w="0" w:type="dxa"/>
          </w:tblCellMar>
        </w:tblPrEx>
        <w:trPr>
          <w:trHeight w:val="59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K20220505</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《云游GO科学》项目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广东优创合影文化传播股份有限公司</w:t>
            </w:r>
          </w:p>
        </w:tc>
      </w:tr>
      <w:tr>
        <w:tblPrEx>
          <w:tblCellMar>
            <w:top w:w="0" w:type="dxa"/>
            <w:left w:w="0" w:type="dxa"/>
            <w:bottom w:w="0" w:type="dxa"/>
            <w:right w:w="0" w:type="dxa"/>
          </w:tblCellMar>
        </w:tblPrEx>
        <w:trPr>
          <w:trHeight w:val="44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K20220601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2022年广州市全国科普日主会场活动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广州市广播电视台</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34</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K20220602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广州市启耀文化传媒有限公司实施“2022年越秀区全国科普日活动”项目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广州市启耀文化传媒有限公司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35</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K20220602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广州喜扬扬传媒有限公司实施</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“2022年广州市全国科普日一区一品牌活动”项目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广州喜扬扬传媒有限公司</w:t>
            </w:r>
          </w:p>
        </w:tc>
      </w:tr>
      <w:tr>
        <w:tblPrEx>
          <w:tblCellMar>
            <w:top w:w="0" w:type="dxa"/>
            <w:left w:w="0" w:type="dxa"/>
            <w:bottom w:w="0" w:type="dxa"/>
            <w:right w:w="0" w:type="dxa"/>
          </w:tblCellMar>
        </w:tblPrEx>
        <w:trPr>
          <w:trHeight w:val="45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36</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K20220602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广州市时报微信息科技有限公司</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实施“2022年全国科普日一区一品牌活动”项目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广州市时报微信息科技有限公司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37</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K20220602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广州市番禺有线数字电视网络有限公司实施“2022年广州市全国科普日一区一品牌活动”项目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广州市番禺有线数字电视网络有限公司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38</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K20220602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广州金凯长清信息科技有限公司实施“2022年广州市全国科普日一区一品牌活动”项目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广州金凯长清信息科技有限公司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39</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K20220603</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广州市科普志愿者协会实施“科普志愿服务”项目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广州市科普志愿者协会</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公众急救知识技能科普能力提升项目</w:t>
            </w:r>
          </w:p>
        </w:tc>
        <w:tc>
          <w:tcPr>
            <w:tcW w:w="2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41</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“穿越时空，多彩家园”地学知识科普活动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广州大学</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42</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“弘扬中医药文化，促进中医药文化发展”项目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广东省中药研究所</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43</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“科普航海知识，提升科普能力，创新驱动发展”项目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广东交通职业技术学院</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44</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《造船技术创新助力21世纪海上丝绸之路》科普讲座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广东造船工程学会</w:t>
            </w:r>
          </w:p>
        </w:tc>
      </w:tr>
      <w:tr>
        <w:tblPrEx>
          <w:tblCellMar>
            <w:top w:w="0" w:type="dxa"/>
            <w:left w:w="0" w:type="dxa"/>
            <w:bottom w:w="0" w:type="dxa"/>
            <w:right w:w="0" w:type="dxa"/>
          </w:tblCellMar>
        </w:tblPrEx>
        <w:trPr>
          <w:trHeight w:val="51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45</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“科技强国·智创未来”2022年互联网+科普系列活动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广州互联网协会</w:t>
            </w:r>
          </w:p>
        </w:tc>
      </w:tr>
      <w:tr>
        <w:tblPrEx>
          <w:tblCellMar>
            <w:top w:w="0" w:type="dxa"/>
            <w:left w:w="0" w:type="dxa"/>
            <w:bottom w:w="0" w:type="dxa"/>
            <w:right w:w="0" w:type="dxa"/>
          </w:tblCellMar>
        </w:tblPrEx>
        <w:trPr>
          <w:trHeight w:val="51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46</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广州高新科技科普研学活动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广州市科学技术交流馆有限公司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47</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“数字赋能，艺术融合”青少年数字文创与人工智能科普教育活动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广州番禺职业技术学院</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48</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“展示农业科技成果，体现现代农业魅力”系列科普活动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广州市蔬菜学会</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49</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新形势下物联网与人工智能科普专题活动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广东省物联网协会</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50</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团体会员科普能力提升项目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广州协跃软件科技有限公司</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广州神农草堂中医药博物馆实施“团体会员科普能力提升”项目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广州神农草堂中医药博物馆</w:t>
            </w:r>
          </w:p>
        </w:tc>
      </w:tr>
      <w:tr>
        <w:tblPrEx>
          <w:tblCellMar>
            <w:top w:w="0" w:type="dxa"/>
            <w:left w:w="0" w:type="dxa"/>
            <w:bottom w:w="0" w:type="dxa"/>
            <w:right w:w="0" w:type="dxa"/>
          </w:tblCellMar>
        </w:tblPrEx>
        <w:trPr>
          <w:trHeight w:val="47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“探索微观世界奥妙的途径-显微镜及其简史”科普宣传活动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广东省科学院工业分析检测中心</w:t>
            </w:r>
          </w:p>
        </w:tc>
      </w:tr>
      <w:tr>
        <w:tblPrEx>
          <w:tblCellMar>
            <w:top w:w="0" w:type="dxa"/>
            <w:left w:w="0" w:type="dxa"/>
            <w:bottom w:w="0" w:type="dxa"/>
            <w:right w:w="0" w:type="dxa"/>
          </w:tblCellMar>
        </w:tblPrEx>
        <w:trPr>
          <w:trHeight w:val="485"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科学家精神进校园暨生物医药新科技项目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暨南大学</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54</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守护生命，“救”在身边急救知识科普宣传活动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广东药科大学</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55</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广州城市矿产协会实施“生活垃圾分类及减量化、资源利用科普宣传活动”项目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广州城市矿产协会</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56</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“针情灸艾、红暖京溪”系列科普宣传活动</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w:t>
            </w:r>
          </w:p>
        </w:tc>
      </w:tr>
      <w:tr>
        <w:tblPrEx>
          <w:tblCellMar>
            <w:top w:w="0" w:type="dxa"/>
            <w:left w:w="0" w:type="dxa"/>
            <w:bottom w:w="0" w:type="dxa"/>
            <w:right w:w="0" w:type="dxa"/>
          </w:tblCellMar>
        </w:tblPrEx>
        <w:trPr>
          <w:trHeight w:val="60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抵御外来生物入侵保护渔业生态环境科普知识宣传活动</w:t>
            </w:r>
          </w:p>
        </w:tc>
        <w:tc>
          <w:tcPr>
            <w:tcW w:w="2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中国水产科学研究院珠江水产研究所</w:t>
            </w:r>
          </w:p>
        </w:tc>
      </w:tr>
      <w:tr>
        <w:tblPrEx>
          <w:tblCellMar>
            <w:top w:w="0" w:type="dxa"/>
            <w:left w:w="0" w:type="dxa"/>
            <w:bottom w:w="0" w:type="dxa"/>
            <w:right w:w="0" w:type="dxa"/>
          </w:tblCellMar>
        </w:tblPrEx>
        <w:trPr>
          <w:trHeight w:val="55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58</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漫说肝炎优秀科普微视频创作项目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中山大学附属第三医院</w:t>
            </w:r>
          </w:p>
        </w:tc>
      </w:tr>
      <w:tr>
        <w:tblPrEx>
          <w:tblCellMar>
            <w:top w:w="0" w:type="dxa"/>
            <w:left w:w="0" w:type="dxa"/>
            <w:bottom w:w="0" w:type="dxa"/>
            <w:right w:w="0" w:type="dxa"/>
          </w:tblCellMar>
        </w:tblPrEx>
        <w:trPr>
          <w:trHeight w:val="55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59</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产后出院妇女及健康新生儿居家护理健康知识科学教育与传播宣传教育项目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露乐健康科技股份有限公司</w:t>
            </w:r>
          </w:p>
        </w:tc>
      </w:tr>
      <w:tr>
        <w:tblPrEx>
          <w:tblCellMar>
            <w:top w:w="0" w:type="dxa"/>
            <w:left w:w="0" w:type="dxa"/>
            <w:bottom w:w="0" w:type="dxa"/>
            <w:right w:w="0" w:type="dxa"/>
          </w:tblCellMar>
        </w:tblPrEx>
        <w:trPr>
          <w:trHeight w:val="55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60</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K20220703</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科协党校——科普工作者培训项目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w:t>
            </w:r>
          </w:p>
        </w:tc>
      </w:tr>
      <w:tr>
        <w:tblPrEx>
          <w:tblCellMar>
            <w:top w:w="0" w:type="dxa"/>
            <w:left w:w="0" w:type="dxa"/>
            <w:bottom w:w="0" w:type="dxa"/>
            <w:right w:w="0" w:type="dxa"/>
          </w:tblCellMar>
        </w:tblPrEx>
        <w:trPr>
          <w:trHeight w:val="55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K20220801</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《科学大求真》项目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广州市广播电视台</w:t>
            </w:r>
          </w:p>
        </w:tc>
      </w:tr>
      <w:tr>
        <w:tblPrEx>
          <w:tblCellMar>
            <w:top w:w="0" w:type="dxa"/>
            <w:left w:w="0" w:type="dxa"/>
            <w:bottom w:w="0" w:type="dxa"/>
            <w:right w:w="0" w:type="dxa"/>
          </w:tblCellMar>
        </w:tblPrEx>
        <w:trPr>
          <w:trHeight w:val="550" w:hRule="atLeast"/>
          <w:jc w:val="center"/>
        </w:trPr>
        <w:tc>
          <w:tcPr>
            <w:tcW w:w="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w:t>
            </w:r>
          </w:p>
        </w:tc>
        <w:tc>
          <w:tcPr>
            <w:tcW w:w="1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K20220802</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《科普一分钟》项目</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广东广播电视台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15729"/>
    <w:rsid w:val="1991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font21"/>
    <w:qFormat/>
    <w:uiPriority w:val="0"/>
    <w:rPr>
      <w:rFonts w:hint="eastAsia" w:ascii="宋体" w:hAnsi="宋体" w:eastAsia="宋体" w:cs="宋体"/>
      <w:color w:val="000000"/>
      <w:sz w:val="22"/>
      <w:szCs w:val="22"/>
      <w:u w:val="none"/>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2022-04-22T07:21:00Z</dcterms:created>
  <dc:creator>一口吃掉小橘子</dc:creator>
  <cp:lastModifiedBy>一口吃掉小橘子</cp:lastModifiedBy>
  <dcterms:modified xsi:type="dcterms:W3CDTF">2022-04-22T07:30:32Z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7C93B452A8DF481395DBCD12A4035866</vt:lpwstr>
  </property>
  <property fmtid="{D5CDD505-2E9C-101B-9397-08002B2CF9AE}" pid="4" name="commondata">
    <vt:lpwstr>eyJoZGlkIjoiZDRkMWM0OTMyZWM0N2FkM2I1ZWI0ODgyYTFiZGY0MGQifQ==</vt:lpwstr>
  </property>
</Properties>
</file>