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国科发资〔2022〕100号</w:t>
      </w:r>
    </w:p>
    <w:p>
      <w:pPr>
        <w:spacing w:line="560" w:lineRule="exact"/>
        <w:ind w:firstLine="4800" w:firstLineChars="1500"/>
        <w:rPr>
          <w:rFonts w:hint="eastAsia" w:ascii="仿宋_GB2312" w:hAnsi="仿宋_GB2312" w:eastAsia="仿宋_GB2312" w:cs="仿宋_GB2312"/>
          <w:sz w:val="32"/>
          <w:szCs w:val="32"/>
        </w:rPr>
      </w:pPr>
    </w:p>
    <w:p>
      <w:pPr>
        <w:spacing w:line="560" w:lineRule="exact"/>
        <w:jc w:val="center"/>
        <w:rPr>
          <w:rFonts w:hint="eastAsia" w:ascii="方正小标宋简体" w:hAnsi="仿宋" w:eastAsia="方正小标宋简体" w:cs="Calibri"/>
          <w:bCs/>
          <w:color w:val="000000"/>
          <w:sz w:val="44"/>
          <w:szCs w:val="44"/>
        </w:rPr>
      </w:pPr>
      <w:bookmarkStart w:id="0" w:name="_GoBack"/>
      <w:r>
        <w:rPr>
          <w:rFonts w:hint="eastAsia" w:ascii="方正小标宋简体" w:hAnsi="仿宋" w:eastAsia="方正小标宋简体" w:cs="Calibri"/>
          <w:bCs/>
          <w:color w:val="000000"/>
          <w:sz w:val="44"/>
          <w:szCs w:val="44"/>
        </w:rPr>
        <w:t>科技部关于发布国家重点研发计划“先进结构与复合材料”等重点专项2022年度项目申报指南的通知</w:t>
      </w:r>
    </w:p>
    <w:bookmarkEnd w:id="0"/>
    <w:p>
      <w:pPr>
        <w:spacing w:line="560" w:lineRule="exact"/>
        <w:jc w:val="center"/>
        <w:rPr>
          <w:rFonts w:hint="eastAsia" w:ascii="方正小标宋简体" w:hAnsi="仿宋" w:eastAsia="方正小标宋简体" w:cs="Calibri"/>
          <w:bCs/>
          <w:color w:val="000000"/>
          <w:sz w:val="44"/>
          <w:szCs w:val="44"/>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各省、自治区、直辖市及计划单列市科技厅（委、局），新疆生产建设兵团科技局，国务院各有关部门，各有关单位：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先进结构与复合材料”等重点专项2022年度项目申报指南予以公布，请根据指南要求组织项目申报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一、项目组织申报工作流程</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申报单位根据指南方向的研究内容以项目形式组织申报，项目可下设课题。项目应整体申报，须覆盖相应指南方向的全部考核指标。项目设1名负责人，每个课题设1名负责人，项目负责人可担任其中1个课题的负责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国家重点研发计划项目申报过程分为预申报、正式申报两个环节，具体工作流程如下。</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预申报书须经相关单位推荐。各推荐单位加强对所推荐的项目申报材料审核把关，按时将推荐项目通过国科管系统统一报送。</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——填写正式申报书。对于通过首轮评审和直接进入答辩评审的项目申请，通过国科管系统填写并提交项目正式申报书，正式申报书受理时间为30天。</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二、组织申报的推荐单位</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国务院有关部门科技主管司局；</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各省、自治区、直辖市、计划单列市及新疆生产建设兵团科技主管部门；</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原工业部门转制成立的行业协会；</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纳入科技部试点范围并且评估结果为A类的产业技术创新战略联盟，以及纳入科技部、财政部开展的科技服务业创新发展行业试点联盟。</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各推荐单位应在本单位职能和业务范围内推荐，并对所推荐项目的真实性等负责。推荐单位名单在国科管系统上公开发布。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三、申报资格要求</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项目牵头申报单位和参与单位应为中国大陆境内注册的科研院所、高等学校和企业等，具有独立法人资格，注册时间为2021年6月30日前，有较强的科技研发能力和条件，运行管理规范。国家机关不得牵头或参与申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项目牵头申报单位、参与单位以及团队成员诚信状况良好，无在惩戒执行期内的科研严重失信行为记录和相关社会领域信用“黑名单”记录。</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申报单位同一个项目只能通过单个推荐单位申报，不得多头申报和重复申报。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项目（课题）负责人须具有高级职称或博士学位，1962年1月1日以后出生，每年用于项目的工作时间不得少于6个月。</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项目（课题）负责人原则上应为该项目（课题）主体研究思路的提出者和实际主持研究的科技人员。中央和地方各级国家机关的公务人员（包括行使科技计划管理职能的其他人员）不得申报项目（课题）。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项目（课题）负责人限申报1个项目（课题）；国家科技重大专项、国家重点研发计划、科技创新2030—重大项目的在研项目负责人不得牵头或参与申报项目（课题），课题负责人可参与申报项目（课题）。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课题）负责人、项目骨干的申报项目（课题）和国家科技重大专项、国家重点研发计划、科技创新2030—重大项目在研项目（课题）总数不得超过2个。国家科技重大专项、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项目任务书执行期（包括延期后的执行期）到2022年12月31日之前的在研项目（含任务或课题）不在限项范围内。</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参与重点专项实施方案或本年度项目指南编制的专家，原则上不能申报该重点专项项目（课题）。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申报项目受理后，原则上不能更改申报单位和负责人。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项目具体申报要求详见各申报指南，有特殊规定的，从其规定。</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各申报单位在正式提交项目申报书前可利用国科管系统查询相关科研人员承担国家科技重大专项、国家重点研发计划重点专项、科技创新2030—重大项目在研项目（含任务或课题）情况，避免重复申报。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四、项目管理改革举措</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关于“揭榜挂帅”项目。为切实提升科研投入绩效、强化重大创新成果的“实战性”，重点研发计划聚焦高质量发展亟需、应用导向鲜明、最终用户明确的攻关任务，设立“揭榜挂帅”项目。突出最终用户作用，实施签订“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关于技术就绪度（TRL）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关于科技型中小企业项目。为进一步强化企业创新主体地位，加快科技型中小企业创新能力提升，在部分重点专项指南中试点设立科技型中小企业项目，要求由科研能力强的科技型中小企业牵头申报。项目下不设课题，实行定额资助，原则上不再组织预算评估，在验收时将对技术指标完成和成果应用情况进行同步考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五、具体申报方式</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项目申报单位网上填报预申报书的受理时间为：2022年5月17日8：00至6月20日16：00。进入答辩评审环节的申报项目，由申报单位按要求填报正式申报书，并通过国科管系统提交，具体时间和有关要求另行通知。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组织推荐。请各推荐单位于2022年6月24日16：00前通过国科管系统逐项确认推荐项目，并将加盖推荐单位公章的推荐函以电子扫描件上传。</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技术咨询电话及邮箱：</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010-58882999（中继线），program@istic.ac.cn</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业务咨询电话：</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（1）“先进结构与复合材料”重点专项咨询电话：010-68104778</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（2）“稀土新材料”重点专项咨询电话：010-68208208、68207717</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（3）“高端功能与智能材料”重点专项咨询电话：010-68104475</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（4）“新型显示与战略性电子材料”重点专项咨询电话：010-68104778</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（5）“储能与智能电网技术”重点专项咨询电话：010-68207731、68207706</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（6）“可再生能源技术”重点专项咨询电话：010-68104408</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（7）“煤炭清洁高效利用技术”重点专项咨询电话：010-68104430</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（8）“氢能技术”重点专项咨询电话：010-68104492</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（9）“交通基础设施”重点专项咨询电话：010-68104462</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（10）“交通载运装备与智能交通技术”重点专项咨询电话：010-68104467</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（11）“新能源汽车”重点专项咨询电话：010-68104408</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（12）“高性能制造技术与重大装备”重点专项咨询电话：010-68104402</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（13）“智能传感器”重点专项咨询电话：010-68104423</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（14）“工业软件”重点专项咨询电话：010-68104472</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（15）“增材制造与激光制造”重点专项咨询电话：010-68104487</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（16）“智能机器人”重点专项咨询电话：010-68207734、68207732</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（17）“网络空间安全治理”重点专项咨询电话：010-68207726、68207794</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请登录系统，在“公开公示-申报指南（2022）”菜单栏中查看申报指南材料。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科 技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2022年4月26日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592204D8"/>
    <w:rsid w:val="5922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2022-05-07T07:14:00Z</dcterms:created>
  <dc:creator>一口吃掉小橘子</dc:creator>
  <cp:lastModifiedBy>一口吃掉小橘子</cp:lastModifiedBy>
  <dcterms:modified xsi:type="dcterms:W3CDTF">2022-05-07T07:20:18Z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208D960EC4EA41F3B721F990F0EA5FB3</vt:lpwstr>
  </property>
</Properties>
</file>