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E6" w:rsidRDefault="00C434E6" w:rsidP="00C434E6">
      <w:pPr>
        <w:spacing w:beforeLines="50" w:before="156"/>
        <w:rPr>
          <w:rFonts w:ascii="黑体" w:eastAsia="黑体" w:hAnsi="等线"/>
          <w:bCs/>
          <w:sz w:val="32"/>
          <w:szCs w:val="32"/>
          <w:lang w:eastAsia="zh-CN"/>
        </w:rPr>
      </w:pPr>
      <w:r>
        <w:rPr>
          <w:rFonts w:ascii="黑体" w:eastAsia="黑体" w:hAnsi="等线" w:hint="eastAsia"/>
          <w:bCs/>
          <w:sz w:val="32"/>
          <w:szCs w:val="32"/>
          <w:lang w:eastAsia="zh-CN"/>
        </w:rPr>
        <w:t>附件1：</w:t>
      </w:r>
    </w:p>
    <w:p w:rsidR="00C434E6" w:rsidRDefault="00C434E6" w:rsidP="00C434E6">
      <w:pPr>
        <w:spacing w:beforeLines="50" w:before="156"/>
        <w:jc w:val="center"/>
        <w:rPr>
          <w:rFonts w:ascii="宋体" w:hAnsi="宋体"/>
          <w:b/>
          <w:bCs/>
          <w:sz w:val="36"/>
          <w:szCs w:val="36"/>
          <w:lang w:eastAsia="zh-CN"/>
        </w:rPr>
      </w:pPr>
      <w:r>
        <w:rPr>
          <w:rFonts w:ascii="宋体" w:hAnsi="宋体" w:hint="eastAsia"/>
          <w:b/>
          <w:sz w:val="36"/>
          <w:szCs w:val="36"/>
          <w:lang w:eastAsia="zh-CN"/>
        </w:rPr>
        <w:t>广东省民办教育协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  <w:lang w:eastAsia="zh-CN"/>
        </w:rPr>
        <w:t>会</w:t>
      </w:r>
      <w:r>
        <w:rPr>
          <w:rFonts w:ascii="宋体" w:eastAsia="宋体" w:hAnsi="宋体" w:hint="eastAsia"/>
          <w:b/>
          <w:sz w:val="36"/>
          <w:szCs w:val="36"/>
          <w:lang w:eastAsia="zh-CN"/>
        </w:rPr>
        <w:t>2022</w:t>
      </w:r>
      <w:r>
        <w:rPr>
          <w:rFonts w:ascii="宋体" w:hAnsi="宋体" w:hint="eastAsia"/>
          <w:b/>
          <w:sz w:val="36"/>
          <w:szCs w:val="36"/>
          <w:lang w:eastAsia="zh-CN"/>
        </w:rPr>
        <w:t>年度</w:t>
      </w:r>
      <w:r>
        <w:rPr>
          <w:rFonts w:ascii="宋体" w:eastAsia="宋体" w:hAnsi="宋体" w:hint="eastAsia"/>
          <w:b/>
          <w:sz w:val="36"/>
          <w:szCs w:val="36"/>
          <w:lang w:eastAsia="zh-CN"/>
        </w:rPr>
        <w:t>民办高校</w:t>
      </w:r>
      <w:r>
        <w:rPr>
          <w:rFonts w:ascii="宋体" w:hAnsi="宋体" w:hint="eastAsia"/>
          <w:b/>
          <w:sz w:val="36"/>
          <w:szCs w:val="36"/>
          <w:lang w:eastAsia="zh-CN"/>
        </w:rPr>
        <w:t>科研课题指南</w:t>
      </w:r>
    </w:p>
    <w:p w:rsidR="00C434E6" w:rsidRDefault="00C434E6" w:rsidP="00C434E6">
      <w:pPr>
        <w:spacing w:line="440" w:lineRule="exact"/>
        <w:rPr>
          <w:rFonts w:ascii="宋体" w:hAnsi="宋体"/>
          <w:b/>
          <w:sz w:val="36"/>
          <w:szCs w:val="36"/>
          <w:lang w:eastAsia="zh-CN"/>
        </w:rPr>
      </w:pPr>
    </w:p>
    <w:p w:rsidR="00C434E6" w:rsidRDefault="00C434E6" w:rsidP="00C434E6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0"/>
          <w:szCs w:val="30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一、民办教育综合或区域性研究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新形势下中国民办教育发展理论走向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中外民办教育发展比较研究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民办教育可持续性发展战略研究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广东省民办高等教育发展报告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广东省民办教育上市情况调研报告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6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广东省民办教育集团化办学研究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7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广东省民办教育典型案例研究</w:t>
      </w:r>
    </w:p>
    <w:p w:rsidR="00C434E6" w:rsidRDefault="00C434E6" w:rsidP="00C434E6">
      <w:pPr>
        <w:spacing w:line="440" w:lineRule="exact"/>
        <w:rPr>
          <w:rFonts w:ascii="黑体" w:eastAsia="黑体" w:hAnsi="黑体"/>
          <w:sz w:val="30"/>
          <w:szCs w:val="30"/>
          <w:lang w:eastAsia="zh-CN"/>
        </w:rPr>
      </w:pPr>
    </w:p>
    <w:p w:rsidR="00C434E6" w:rsidRDefault="00C434E6" w:rsidP="00C434E6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二、民办学校德育与管理机制研究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1.民办学校“三全育人”改革研究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2.民办学校课程思政改革研究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3.民办学校管理机制创新研究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4.民办学校特色文化建设研究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5.民办师德师风建设研究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6.民办学校教师权益保护研究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7.民办学校师资队伍建设研究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8.民办学校分类评价机制研究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9.民办学校职称评审改革研究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C434E6" w:rsidRDefault="00C434E6" w:rsidP="00C434E6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:rsidR="00C434E6" w:rsidRDefault="00C434E6" w:rsidP="00C434E6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:rsidR="00C434E6" w:rsidRDefault="00C434E6" w:rsidP="00C434E6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三、民办学校社会服务研究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1.民办教育社会分类管理研究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2.民办学校的市场监管机制研究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3.民办学校服务区域经济发展研究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4.民办学校产教融合与校企合作机制研究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5.民办学校与“一带一路”建设研究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6.民办学校与粤港澳大湾区建设发展研究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7.民办教育发展中的政府职责研究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8.民办教育的社会功能研究</w:t>
      </w:r>
    </w:p>
    <w:p w:rsidR="00C434E6" w:rsidRDefault="00C434E6" w:rsidP="00C434E6">
      <w:pPr>
        <w:spacing w:line="440" w:lineRule="exact"/>
        <w:rPr>
          <w:rFonts w:ascii="仿宋" w:eastAsia="仿宋" w:hAnsi="仿宋"/>
          <w:sz w:val="30"/>
          <w:szCs w:val="30"/>
          <w:lang w:eastAsia="zh-CN"/>
        </w:rPr>
      </w:pPr>
    </w:p>
    <w:p w:rsidR="00C434E6" w:rsidRDefault="00C434E6" w:rsidP="00C434E6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四、民办高校应用型发展研究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1.民办高校应用型人才模式研究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2.民办高校应用型专业特色建设研究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3.民办高校应用型课程体系建设研究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4.民办高校实践教学研究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5.民办高校教学信息化建设研究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6.民办高校应用型人才质量保障体系构建研究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7.民办高校应用型人才创新创业研究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8.民办高校应用型教学管理创新研究</w:t>
      </w:r>
    </w:p>
    <w:p w:rsidR="00C434E6" w:rsidRDefault="00C434E6" w:rsidP="00C434E6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9.民办高校教师应用型教师教学能力发展研究</w:t>
      </w:r>
    </w:p>
    <w:p w:rsidR="00C434E6" w:rsidRDefault="00C434E6" w:rsidP="00C434E6">
      <w:pPr>
        <w:rPr>
          <w:rFonts w:ascii="等线" w:eastAsia="等线" w:hAnsi="等线"/>
          <w:lang w:eastAsia="zh-CN"/>
        </w:rPr>
      </w:pPr>
    </w:p>
    <w:p w:rsidR="00C434E6" w:rsidRDefault="00C434E6" w:rsidP="00C434E6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五、民办教育的其它问题研究</w:t>
      </w:r>
    </w:p>
    <w:p w:rsidR="00C434E6" w:rsidRDefault="00C434E6" w:rsidP="00C434E6">
      <w:pPr>
        <w:rPr>
          <w:rFonts w:ascii="等线" w:eastAsia="等线" w:hAnsi="等线"/>
          <w:lang w:eastAsia="zh-CN"/>
        </w:rPr>
      </w:pPr>
    </w:p>
    <w:p w:rsidR="00046B7F" w:rsidRDefault="00C434E6"/>
    <w:sectPr w:rsidR="0004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E6"/>
    <w:rsid w:val="001C340E"/>
    <w:rsid w:val="00C434E6"/>
    <w:rsid w:val="00D6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E6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E6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2021-12-14T03:17:00Z</dcterms:created>
  <dcterms:modified xsi:type="dcterms:W3CDTF">2021-12-14T03:17:00Z</dcterms:modified>
</cp:coreProperties>
</file>