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广州南方学院</w:t>
      </w:r>
      <w:r>
        <w:rPr>
          <w:rFonts w:hint="eastAsia" w:ascii="仿宋" w:hAnsi="仿宋" w:eastAsia="仿宋"/>
          <w:b/>
          <w:sz w:val="32"/>
          <w:szCs w:val="32"/>
          <w:lang w:val="en-US" w:eastAsia="zh-CN"/>
        </w:rPr>
        <w:t>2022年度</w:t>
      </w:r>
      <w:r>
        <w:rPr>
          <w:rFonts w:hint="eastAsia" w:ascii="仿宋" w:hAnsi="仿宋" w:eastAsia="仿宋"/>
          <w:b/>
          <w:sz w:val="32"/>
          <w:szCs w:val="32"/>
        </w:rPr>
        <w:t>广东省教育厅科研项目结项验收评审会安排</w:t>
      </w:r>
    </w:p>
    <w:p>
      <w:pPr>
        <w:jc w:val="center"/>
        <w:rPr>
          <w:rFonts w:ascii="仿宋" w:hAnsi="仿宋" w:eastAsia="仿宋"/>
          <w:b/>
          <w:color w:val="FF0000"/>
          <w:sz w:val="32"/>
          <w:szCs w:val="32"/>
        </w:rPr>
      </w:pPr>
      <w:r>
        <w:rPr>
          <w:rFonts w:hint="eastAsia" w:ascii="仿宋" w:hAnsi="仿宋" w:eastAsia="仿宋"/>
          <w:b/>
          <w:color w:val="FF0000"/>
          <w:sz w:val="32"/>
          <w:szCs w:val="32"/>
        </w:rPr>
        <w:t>11月</w:t>
      </w:r>
      <w:r>
        <w:rPr>
          <w:rFonts w:hint="eastAsia" w:ascii="仿宋" w:hAnsi="仿宋" w:eastAsia="仿宋"/>
          <w:b/>
          <w:color w:val="FF0000"/>
          <w:sz w:val="32"/>
          <w:szCs w:val="32"/>
          <w:lang w:val="en-US" w:eastAsia="zh-CN"/>
        </w:rPr>
        <w:t>26</w:t>
      </w:r>
      <w:r>
        <w:rPr>
          <w:rFonts w:hint="eastAsia" w:ascii="仿宋" w:hAnsi="仿宋" w:eastAsia="仿宋"/>
          <w:b/>
          <w:color w:val="FF0000"/>
          <w:sz w:val="32"/>
          <w:szCs w:val="32"/>
        </w:rPr>
        <w:t>日（星期</w:t>
      </w:r>
      <w:r>
        <w:rPr>
          <w:rFonts w:hint="eastAsia" w:ascii="仿宋" w:hAnsi="仿宋" w:eastAsia="仿宋"/>
          <w:b/>
          <w:color w:val="FF0000"/>
          <w:sz w:val="32"/>
          <w:szCs w:val="32"/>
          <w:lang w:val="en-US" w:eastAsia="zh-CN"/>
        </w:rPr>
        <w:t>六</w:t>
      </w:r>
      <w:r>
        <w:rPr>
          <w:rFonts w:hint="eastAsia" w:ascii="仿宋" w:hAnsi="仿宋" w:eastAsia="仿宋"/>
          <w:b/>
          <w:color w:val="FF0000"/>
          <w:sz w:val="32"/>
          <w:szCs w:val="32"/>
        </w:rPr>
        <w:t>）</w:t>
      </w:r>
      <w:r>
        <w:rPr>
          <w:rFonts w:hint="eastAsia" w:ascii="仿宋" w:hAnsi="仿宋" w:eastAsia="仿宋"/>
          <w:b/>
          <w:color w:val="FF0000"/>
          <w:sz w:val="32"/>
          <w:szCs w:val="32"/>
          <w:lang w:val="en-US" w:eastAsia="zh-CN"/>
        </w:rPr>
        <w:t>9</w:t>
      </w:r>
      <w:r>
        <w:rPr>
          <w:rFonts w:hint="eastAsia" w:ascii="仿宋" w:hAnsi="仿宋" w:eastAsia="仿宋"/>
          <w:b/>
          <w:color w:val="FF0000"/>
          <w:sz w:val="32"/>
          <w:szCs w:val="32"/>
        </w:rPr>
        <w:t>：</w:t>
      </w:r>
      <w:r>
        <w:rPr>
          <w:rFonts w:hint="eastAsia" w:ascii="仿宋" w:hAnsi="仿宋" w:eastAsia="仿宋"/>
          <w:b/>
          <w:color w:val="FF0000"/>
          <w:sz w:val="32"/>
          <w:szCs w:val="32"/>
          <w:lang w:val="en-US" w:eastAsia="zh-CN"/>
        </w:rPr>
        <w:t>0</w:t>
      </w:r>
      <w:r>
        <w:rPr>
          <w:rFonts w:hint="eastAsia" w:ascii="仿宋" w:hAnsi="仿宋" w:eastAsia="仿宋"/>
          <w:b/>
          <w:color w:val="FF0000"/>
          <w:sz w:val="32"/>
          <w:szCs w:val="32"/>
        </w:rPr>
        <w:t>0-1</w:t>
      </w:r>
      <w:r>
        <w:rPr>
          <w:rFonts w:hint="eastAsia" w:ascii="仿宋" w:hAnsi="仿宋" w:eastAsia="仿宋"/>
          <w:b/>
          <w:color w:val="FF0000"/>
          <w:sz w:val="32"/>
          <w:szCs w:val="32"/>
          <w:lang w:val="en-US" w:eastAsia="zh-CN"/>
        </w:rPr>
        <w:t>6</w:t>
      </w:r>
      <w:r>
        <w:rPr>
          <w:rFonts w:hint="eastAsia" w:ascii="仿宋" w:hAnsi="仿宋" w:eastAsia="仿宋"/>
          <w:b/>
          <w:color w:val="FF0000"/>
          <w:sz w:val="32"/>
          <w:szCs w:val="32"/>
        </w:rPr>
        <w:t>：</w:t>
      </w:r>
      <w:r>
        <w:rPr>
          <w:rFonts w:hint="eastAsia" w:ascii="仿宋" w:hAnsi="仿宋" w:eastAsia="仿宋"/>
          <w:b/>
          <w:color w:val="FF0000"/>
          <w:sz w:val="32"/>
          <w:szCs w:val="32"/>
          <w:lang w:val="en-US" w:eastAsia="zh-CN"/>
        </w:rPr>
        <w:t>3</w:t>
      </w:r>
      <w:r>
        <w:rPr>
          <w:rFonts w:hint="eastAsia" w:ascii="仿宋" w:hAnsi="仿宋" w:eastAsia="仿宋"/>
          <w:b/>
          <w:color w:val="FF0000"/>
          <w:sz w:val="32"/>
          <w:szCs w:val="32"/>
        </w:rPr>
        <w:t>0</w:t>
      </w:r>
    </w:p>
    <w:tbl>
      <w:tblPr>
        <w:tblStyle w:val="4"/>
        <w:tblW w:w="0" w:type="auto"/>
        <w:tblInd w:w="0" w:type="dxa"/>
        <w:tblLayout w:type="fixed"/>
        <w:tblCellMar>
          <w:top w:w="15" w:type="dxa"/>
          <w:left w:w="15" w:type="dxa"/>
          <w:bottom w:w="15" w:type="dxa"/>
          <w:right w:w="15" w:type="dxa"/>
        </w:tblCellMar>
      </w:tblPr>
      <w:tblGrid>
        <w:gridCol w:w="724"/>
        <w:gridCol w:w="1550"/>
        <w:gridCol w:w="4636"/>
        <w:gridCol w:w="1364"/>
        <w:gridCol w:w="1886"/>
      </w:tblGrid>
      <w:tr>
        <w:tblPrEx>
          <w:tblCellMar>
            <w:top w:w="15" w:type="dxa"/>
            <w:left w:w="15" w:type="dxa"/>
            <w:bottom w:w="15" w:type="dxa"/>
            <w:right w:w="15" w:type="dxa"/>
          </w:tblCellMar>
        </w:tblPrEx>
        <w:trPr>
          <w:trHeight w:val="468"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szCs w:val="22"/>
              </w:rPr>
            </w:pPr>
            <w:r>
              <w:rPr>
                <w:rFonts w:hint="eastAsia" w:ascii="宋体" w:hAnsi="宋体" w:cs="宋体"/>
                <w:b/>
                <w:color w:val="000000"/>
                <w:sz w:val="24"/>
                <w:szCs w:val="22"/>
              </w:rPr>
              <w:t>序号</w:t>
            </w:r>
          </w:p>
        </w:tc>
        <w:tc>
          <w:tcPr>
            <w:tcW w:w="1550" w:type="dxa"/>
            <w:tcBorders>
              <w:top w:val="single" w:color="000000" w:sz="4" w:space="0"/>
              <w:left w:val="single" w:color="000000" w:sz="4" w:space="0"/>
              <w:bottom w:val="single" w:color="auto" w:sz="4" w:space="0"/>
              <w:right w:val="single" w:color="000000" w:sz="4" w:space="0"/>
            </w:tcBorders>
            <w:vAlign w:val="center"/>
          </w:tcPr>
          <w:p>
            <w:pPr>
              <w:widowControl/>
              <w:ind w:firstLine="241" w:firstLineChars="100"/>
              <w:jc w:val="left"/>
              <w:textAlignment w:val="center"/>
              <w:rPr>
                <w:rFonts w:ascii="宋体" w:hAnsi="宋体" w:cs="宋体"/>
                <w:b/>
                <w:color w:val="000000"/>
                <w:kern w:val="0"/>
                <w:sz w:val="24"/>
                <w:szCs w:val="22"/>
              </w:rPr>
            </w:pPr>
            <w:r>
              <w:rPr>
                <w:rFonts w:hint="eastAsia" w:ascii="宋体" w:hAnsi="宋体" w:cs="宋体"/>
                <w:b/>
                <w:color w:val="000000"/>
                <w:kern w:val="0"/>
                <w:sz w:val="24"/>
                <w:szCs w:val="22"/>
              </w:rPr>
              <w:t xml:space="preserve">评审时间 </w:t>
            </w:r>
          </w:p>
        </w:tc>
        <w:tc>
          <w:tcPr>
            <w:tcW w:w="4636" w:type="dxa"/>
            <w:tcBorders>
              <w:top w:val="single" w:color="000000" w:sz="4" w:space="0"/>
              <w:left w:val="single" w:color="000000" w:sz="4" w:space="0"/>
              <w:bottom w:val="single" w:color="000000" w:sz="4" w:space="0"/>
              <w:right w:val="single" w:color="000000" w:sz="4" w:space="0"/>
            </w:tcBorders>
            <w:vAlign w:val="center"/>
          </w:tcPr>
          <w:p>
            <w:pPr>
              <w:widowControl/>
              <w:ind w:firstLine="1446" w:firstLineChars="600"/>
              <w:jc w:val="left"/>
              <w:textAlignment w:val="center"/>
              <w:rPr>
                <w:rFonts w:ascii="宋体" w:hAnsi="宋体" w:cs="宋体"/>
                <w:b/>
                <w:color w:val="000000"/>
                <w:kern w:val="0"/>
                <w:sz w:val="24"/>
                <w:szCs w:val="22"/>
              </w:rPr>
            </w:pPr>
            <w:r>
              <w:rPr>
                <w:rFonts w:hint="eastAsia" w:ascii="宋体" w:hAnsi="宋体" w:cs="宋体"/>
                <w:b/>
                <w:color w:val="000000"/>
                <w:kern w:val="0"/>
                <w:sz w:val="24"/>
                <w:szCs w:val="22"/>
              </w:rPr>
              <w:t>项目名称</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szCs w:val="22"/>
              </w:rPr>
            </w:pPr>
            <w:r>
              <w:rPr>
                <w:rFonts w:hint="eastAsia" w:ascii="宋体" w:hAnsi="宋体" w:cs="宋体"/>
                <w:b/>
                <w:color w:val="000000"/>
                <w:kern w:val="0"/>
                <w:sz w:val="24"/>
                <w:szCs w:val="22"/>
              </w:rPr>
              <w:t>项目负责人</w:t>
            </w:r>
          </w:p>
        </w:tc>
        <w:tc>
          <w:tcPr>
            <w:tcW w:w="1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szCs w:val="22"/>
              </w:rPr>
            </w:pPr>
            <w:r>
              <w:rPr>
                <w:rFonts w:hint="eastAsia" w:ascii="宋体" w:hAnsi="宋体" w:cs="宋体"/>
                <w:b/>
                <w:color w:val="000000"/>
                <w:kern w:val="0"/>
                <w:sz w:val="24"/>
                <w:szCs w:val="22"/>
              </w:rPr>
              <w:t>项目负责人单位</w:t>
            </w:r>
          </w:p>
        </w:tc>
      </w:tr>
      <w:tr>
        <w:tblPrEx>
          <w:tblCellMar>
            <w:top w:w="15" w:type="dxa"/>
            <w:left w:w="15" w:type="dxa"/>
            <w:bottom w:w="15" w:type="dxa"/>
            <w:right w:w="15" w:type="dxa"/>
          </w:tblCellMar>
        </w:tblPrEx>
        <w:trPr>
          <w:trHeight w:val="698" w:hRule="atLeast"/>
        </w:trPr>
        <w:tc>
          <w:tcPr>
            <w:tcW w:w="72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sz w:val="22"/>
                <w:szCs w:val="22"/>
              </w:rPr>
              <w:t xml:space="preserve">1 </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0</w:t>
            </w:r>
            <w:r>
              <w:rPr>
                <w:rFonts w:ascii="宋体" w:hAnsi="宋体" w:cs="宋体"/>
                <w:color w:val="000000"/>
                <w:kern w:val="0"/>
                <w:sz w:val="22"/>
                <w:szCs w:val="22"/>
              </w:rPr>
              <w:t>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0</w:t>
            </w:r>
          </w:p>
        </w:tc>
        <w:tc>
          <w:tcPr>
            <w:tcW w:w="463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“资源诅咒”视角下的扶贫资金减贫效率与最优规模研究</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华磊</w:t>
            </w:r>
          </w:p>
        </w:tc>
        <w:tc>
          <w:tcPr>
            <w:tcW w:w="1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公共管理学院</w:t>
            </w:r>
          </w:p>
        </w:tc>
      </w:tr>
      <w:tr>
        <w:tblPrEx>
          <w:tblCellMar>
            <w:top w:w="15" w:type="dxa"/>
            <w:left w:w="15" w:type="dxa"/>
            <w:bottom w:w="15" w:type="dxa"/>
            <w:right w:w="15" w:type="dxa"/>
          </w:tblCellMar>
        </w:tblPrEx>
        <w:trPr>
          <w:trHeight w:val="698" w:hRule="atLeast"/>
        </w:trPr>
        <w:tc>
          <w:tcPr>
            <w:tcW w:w="72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w:t>
            </w:r>
            <w:r>
              <w:rPr>
                <w:rFonts w:ascii="宋体" w:hAnsi="宋体" w:cs="宋体"/>
                <w:color w:val="000000"/>
                <w:kern w:val="0"/>
                <w:sz w:val="22"/>
                <w:szCs w:val="22"/>
              </w:rPr>
              <w:t>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0</w:t>
            </w:r>
          </w:p>
        </w:tc>
        <w:tc>
          <w:tcPr>
            <w:tcW w:w="463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粤港澳大湾区建设进程中广州农业现代化发展路径研究</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侯东栋</w:t>
            </w:r>
          </w:p>
        </w:tc>
        <w:tc>
          <w:tcPr>
            <w:tcW w:w="1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宋体" w:hAnsi="宋体" w:cs="宋体"/>
                <w:i w:val="0"/>
                <w:iCs w:val="0"/>
                <w:color w:val="000000"/>
                <w:kern w:val="0"/>
                <w:sz w:val="24"/>
                <w:szCs w:val="24"/>
                <w:u w:val="none"/>
                <w:lang w:val="en-US" w:eastAsia="zh-CN" w:bidi="ar"/>
              </w:rPr>
              <w:t>一年级学生工作部</w:t>
            </w:r>
          </w:p>
        </w:tc>
      </w:tr>
      <w:tr>
        <w:tblPrEx>
          <w:tblCellMar>
            <w:top w:w="15" w:type="dxa"/>
            <w:left w:w="15" w:type="dxa"/>
            <w:bottom w:w="15" w:type="dxa"/>
            <w:right w:w="15" w:type="dxa"/>
          </w:tblCellMar>
        </w:tblPrEx>
        <w:trPr>
          <w:trHeight w:val="698" w:hRule="atLeast"/>
        </w:trPr>
        <w:tc>
          <w:tcPr>
            <w:tcW w:w="72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4</w:t>
            </w:r>
            <w:r>
              <w:rPr>
                <w:rFonts w:ascii="宋体" w:hAnsi="宋体" w:cs="宋体"/>
                <w:color w:val="000000"/>
                <w:kern w:val="0"/>
                <w:sz w:val="22"/>
                <w:szCs w:val="22"/>
              </w:rPr>
              <w:t>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w:t>
            </w:r>
          </w:p>
        </w:tc>
        <w:tc>
          <w:tcPr>
            <w:tcW w:w="463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创新实践型影像新媒体教育研究以VR全景影像制作为例</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马红波</w:t>
            </w:r>
          </w:p>
        </w:tc>
        <w:tc>
          <w:tcPr>
            <w:tcW w:w="1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艺术设计与创意产业系</w:t>
            </w:r>
          </w:p>
        </w:tc>
      </w:tr>
      <w:tr>
        <w:tblPrEx>
          <w:tblCellMar>
            <w:top w:w="15" w:type="dxa"/>
            <w:left w:w="15" w:type="dxa"/>
            <w:bottom w:w="15" w:type="dxa"/>
            <w:right w:w="15" w:type="dxa"/>
          </w:tblCellMar>
        </w:tblPrEx>
        <w:trPr>
          <w:trHeight w:val="683" w:hRule="atLeast"/>
        </w:trPr>
        <w:tc>
          <w:tcPr>
            <w:tcW w:w="72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sz w:val="22"/>
                <w:szCs w:val="22"/>
                <w:lang w:val="en-US" w:eastAsia="zh-CN"/>
              </w:rPr>
              <w:t>4</w:t>
            </w:r>
          </w:p>
        </w:tc>
        <w:tc>
          <w:tcPr>
            <w:tcW w:w="1550"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0</w:t>
            </w:r>
            <w:r>
              <w:rPr>
                <w:rFonts w:ascii="宋体" w:hAnsi="宋体" w:cs="宋体"/>
                <w:color w:val="000000"/>
                <w:kern w:val="0"/>
                <w:sz w:val="22"/>
                <w:szCs w:val="22"/>
              </w:rPr>
              <w:t>0</w:t>
            </w: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0</w:t>
            </w:r>
          </w:p>
        </w:tc>
        <w:tc>
          <w:tcPr>
            <w:tcW w:w="463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新商科丶新文科及新工科时代下的智能应用设计创新研究：基於价值主张设计的人工智能及大数据能力建设发展战略研究</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廖汉腾</w:t>
            </w:r>
          </w:p>
        </w:tc>
        <w:tc>
          <w:tcPr>
            <w:tcW w:w="1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cs="宋体"/>
                <w:i w:val="0"/>
                <w:iCs w:val="0"/>
                <w:color w:val="000000"/>
                <w:kern w:val="0"/>
                <w:sz w:val="24"/>
                <w:szCs w:val="24"/>
                <w:u w:val="none"/>
                <w:lang w:val="en-US" w:eastAsia="zh-CN" w:bidi="ar"/>
              </w:rPr>
              <w:t>公共管理学院</w:t>
            </w:r>
          </w:p>
        </w:tc>
      </w:tr>
      <w:tr>
        <w:tblPrEx>
          <w:tblCellMar>
            <w:top w:w="15" w:type="dxa"/>
            <w:left w:w="15" w:type="dxa"/>
            <w:bottom w:w="15" w:type="dxa"/>
            <w:right w:w="15" w:type="dxa"/>
          </w:tblCellMar>
        </w:tblPrEx>
        <w:trPr>
          <w:trHeight w:val="528" w:hRule="atLeast"/>
        </w:trPr>
        <w:tc>
          <w:tcPr>
            <w:tcW w:w="72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w:t>
            </w:r>
            <w:r>
              <w:rPr>
                <w:rFonts w:ascii="宋体" w:hAnsi="宋体" w:cs="宋体"/>
                <w:color w:val="000000"/>
                <w:kern w:val="0"/>
                <w:sz w:val="22"/>
                <w:szCs w:val="22"/>
              </w:rPr>
              <w:t>0</w:t>
            </w: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0</w:t>
            </w:r>
          </w:p>
        </w:tc>
        <w:tc>
          <w:tcPr>
            <w:tcW w:w="4636"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分类管理背景下广东省民办高校政策风险评估研究</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欧崇亚</w:t>
            </w:r>
          </w:p>
        </w:tc>
        <w:tc>
          <w:tcPr>
            <w:tcW w:w="1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公共管理学院</w:t>
            </w:r>
          </w:p>
        </w:tc>
      </w:tr>
      <w:tr>
        <w:tblPrEx>
          <w:tblCellMar>
            <w:top w:w="15" w:type="dxa"/>
            <w:left w:w="15" w:type="dxa"/>
            <w:bottom w:w="15" w:type="dxa"/>
            <w:right w:w="15" w:type="dxa"/>
          </w:tblCellMar>
        </w:tblPrEx>
        <w:trPr>
          <w:trHeight w:val="553" w:hRule="atLeast"/>
        </w:trPr>
        <w:tc>
          <w:tcPr>
            <w:tcW w:w="724"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6</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4</w:t>
            </w:r>
            <w:r>
              <w:rPr>
                <w:rFonts w:ascii="宋体" w:hAnsi="宋体" w:cs="宋体"/>
                <w:color w:val="000000"/>
                <w:kern w:val="0"/>
                <w:sz w:val="22"/>
                <w:szCs w:val="22"/>
              </w:rPr>
              <w:t>0</w:t>
            </w: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w:t>
            </w:r>
          </w:p>
        </w:tc>
        <w:tc>
          <w:tcPr>
            <w:tcW w:w="4636"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宋体" w:hAnsi="宋体"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一带一路机遇下区块链技术对粤港澳大湾区扩大跨境电商與生产性服务外包创新之研究</w:t>
            </w:r>
          </w:p>
        </w:tc>
        <w:tc>
          <w:tcPr>
            <w:tcW w:w="13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林学宏</w:t>
            </w:r>
          </w:p>
        </w:tc>
        <w:tc>
          <w:tcPr>
            <w:tcW w:w="1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商学院</w:t>
            </w:r>
          </w:p>
        </w:tc>
      </w:tr>
      <w:tr>
        <w:tblPrEx>
          <w:tblCellMar>
            <w:top w:w="15" w:type="dxa"/>
            <w:left w:w="15" w:type="dxa"/>
            <w:bottom w:w="15" w:type="dxa"/>
            <w:right w:w="15" w:type="dxa"/>
          </w:tblCellMar>
        </w:tblPrEx>
        <w:trPr>
          <w:trHeight w:val="508"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7</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2"/>
                <w:szCs w:val="22"/>
                <w:lang w:val="en-US" w:eastAsia="zh-CN"/>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0</w:t>
            </w:r>
            <w:r>
              <w:rPr>
                <w:rFonts w:ascii="宋体" w:hAnsi="宋体" w:cs="宋体"/>
                <w:color w:val="000000"/>
                <w:kern w:val="0"/>
                <w:sz w:val="22"/>
                <w:szCs w:val="22"/>
              </w:rPr>
              <w:t>0-1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20</w:t>
            </w:r>
          </w:p>
        </w:tc>
        <w:tc>
          <w:tcPr>
            <w:tcW w:w="4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康复性景观视角下的田园乡愁：从化特色小镇的旅游发展</w:t>
            </w:r>
          </w:p>
        </w:tc>
        <w:tc>
          <w:tcPr>
            <w:tcW w:w="1364"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黄力远</w:t>
            </w:r>
          </w:p>
        </w:tc>
        <w:tc>
          <w:tcPr>
            <w:tcW w:w="1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商学院</w:t>
            </w:r>
          </w:p>
        </w:tc>
      </w:tr>
      <w:tr>
        <w:tblPrEx>
          <w:tblCellMar>
            <w:top w:w="15" w:type="dxa"/>
            <w:left w:w="15" w:type="dxa"/>
            <w:bottom w:w="15" w:type="dxa"/>
            <w:right w:w="15" w:type="dxa"/>
          </w:tblCellMar>
        </w:tblPrEx>
        <w:trPr>
          <w:trHeight w:val="363"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8</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Style w:val="7"/>
                <w:rFonts w:hint="default"/>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2</w:t>
            </w:r>
            <w:r>
              <w:rPr>
                <w:rFonts w:ascii="宋体" w:hAnsi="宋体" w:cs="宋体"/>
                <w:color w:val="000000"/>
                <w:kern w:val="0"/>
                <w:sz w:val="22"/>
                <w:szCs w:val="22"/>
              </w:rPr>
              <w:t>0-1</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4</w:t>
            </w:r>
            <w:r>
              <w:rPr>
                <w:rFonts w:ascii="宋体" w:hAnsi="宋体" w:cs="宋体"/>
                <w:color w:val="000000"/>
                <w:kern w:val="0"/>
                <w:sz w:val="22"/>
                <w:szCs w:val="22"/>
              </w:rPr>
              <w:t>0</w:t>
            </w:r>
          </w:p>
        </w:tc>
        <w:tc>
          <w:tcPr>
            <w:tcW w:w="46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Calibri" w:hAnsi="Calibri"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大数据时代粤港澳大湾区全面建设智慧城市群之战略研究</w:t>
            </w:r>
          </w:p>
        </w:tc>
        <w:tc>
          <w:tcPr>
            <w:tcW w:w="13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Calibri" w:hAnsi="Calibri"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徐子玉</w:t>
            </w:r>
          </w:p>
        </w:tc>
        <w:tc>
          <w:tcPr>
            <w:tcW w:w="188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Calibri" w:hAnsi="Calibri"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商学院</w:t>
            </w:r>
          </w:p>
        </w:tc>
      </w:tr>
      <w:tr>
        <w:tblPrEx>
          <w:tblCellMar>
            <w:top w:w="15" w:type="dxa"/>
            <w:left w:w="15" w:type="dxa"/>
            <w:bottom w:w="15" w:type="dxa"/>
            <w:right w:w="15" w:type="dxa"/>
          </w:tblCellMar>
        </w:tblPrEx>
        <w:trPr>
          <w:trHeight w:val="363" w:hRule="atLeast"/>
        </w:trPr>
        <w:tc>
          <w:tcPr>
            <w:tcW w:w="101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休息时间</w:t>
            </w:r>
          </w:p>
        </w:tc>
      </w:tr>
      <w:tr>
        <w:tblPrEx>
          <w:tblCellMar>
            <w:top w:w="15" w:type="dxa"/>
            <w:left w:w="15" w:type="dxa"/>
            <w:bottom w:w="15" w:type="dxa"/>
            <w:right w:w="15" w:type="dxa"/>
          </w:tblCellMar>
        </w:tblPrEx>
        <w:trPr>
          <w:trHeight w:val="363"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30-14</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50</w:t>
            </w:r>
          </w:p>
        </w:tc>
        <w:tc>
          <w:tcPr>
            <w:tcW w:w="46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基于MOF材料的核酸适配体电化学生物传感器制备及其前列腺癌细胞外泌体的检测应用</w:t>
            </w:r>
          </w:p>
        </w:tc>
        <w:tc>
          <w:tcPr>
            <w:tcW w:w="13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莫名月</w:t>
            </w:r>
          </w:p>
        </w:tc>
        <w:tc>
          <w:tcPr>
            <w:tcW w:w="188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4"/>
                <w:szCs w:val="24"/>
                <w:u w:val="none"/>
                <w:lang w:val="en-US" w:eastAsia="zh-CN" w:bidi="ar"/>
              </w:rPr>
              <w:t>云康医学与健康管理学院</w:t>
            </w:r>
          </w:p>
        </w:tc>
      </w:tr>
      <w:tr>
        <w:tblPrEx>
          <w:tblCellMar>
            <w:top w:w="15" w:type="dxa"/>
            <w:left w:w="15" w:type="dxa"/>
            <w:bottom w:w="15" w:type="dxa"/>
            <w:right w:w="15" w:type="dxa"/>
          </w:tblCellMar>
        </w:tblPrEx>
        <w:trPr>
          <w:trHeight w:val="437"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10</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0</w:t>
            </w:r>
          </w:p>
        </w:tc>
        <w:tc>
          <w:tcPr>
            <w:tcW w:w="46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olor w:val="000000"/>
                <w:sz w:val="22"/>
                <w:szCs w:val="22"/>
              </w:rPr>
            </w:pPr>
            <w:r>
              <w:rPr>
                <w:rFonts w:hint="eastAsia" w:ascii="宋体" w:hAnsi="宋体" w:eastAsia="宋体" w:cs="宋体"/>
                <w:i w:val="0"/>
                <w:iCs w:val="0"/>
                <w:color w:val="000000"/>
                <w:kern w:val="0"/>
                <w:sz w:val="24"/>
                <w:szCs w:val="24"/>
                <w:u w:val="none"/>
                <w:lang w:val="en-US" w:eastAsia="zh-CN" w:bidi="ar"/>
              </w:rPr>
              <w:t>基于虚拟仿真模型及云平台的电气工程综合实训系统研究</w:t>
            </w:r>
          </w:p>
        </w:tc>
        <w:tc>
          <w:tcPr>
            <w:tcW w:w="136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4"/>
                <w:szCs w:val="24"/>
                <w:u w:val="none"/>
                <w:lang w:val="en-US" w:eastAsia="zh-CN" w:bidi="ar"/>
              </w:rPr>
              <w:t>张巍</w:t>
            </w:r>
          </w:p>
        </w:tc>
        <w:tc>
          <w:tcPr>
            <w:tcW w:w="188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4"/>
                <w:szCs w:val="24"/>
                <w:u w:val="none"/>
                <w:lang w:val="en-US" w:eastAsia="zh-CN" w:bidi="ar"/>
              </w:rPr>
              <w:t>电气与计算机工程学院</w:t>
            </w:r>
          </w:p>
        </w:tc>
      </w:tr>
      <w:tr>
        <w:tblPrEx>
          <w:tblCellMar>
            <w:top w:w="15" w:type="dxa"/>
            <w:left w:w="15" w:type="dxa"/>
            <w:bottom w:w="15" w:type="dxa"/>
            <w:right w:w="15" w:type="dxa"/>
          </w:tblCellMar>
        </w:tblPrEx>
        <w:trPr>
          <w:trHeight w:val="437"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w:t>
            </w:r>
            <w:r>
              <w:rPr>
                <w:rFonts w:ascii="宋体" w:hAnsi="宋体" w:cs="宋体"/>
                <w:color w:val="000000"/>
                <w:kern w:val="0"/>
                <w:sz w:val="22"/>
                <w:szCs w:val="22"/>
              </w:rPr>
              <w:t>0-1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3</w:t>
            </w:r>
            <w:r>
              <w:rPr>
                <w:rFonts w:ascii="宋体" w:hAnsi="宋体" w:cs="宋体"/>
                <w:color w:val="000000"/>
                <w:kern w:val="0"/>
                <w:sz w:val="22"/>
                <w:szCs w:val="22"/>
              </w:rPr>
              <w:t>0</w:t>
            </w:r>
          </w:p>
        </w:tc>
        <w:tc>
          <w:tcPr>
            <w:tcW w:w="46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color w:val="000000"/>
                <w:sz w:val="22"/>
                <w:szCs w:val="22"/>
              </w:rPr>
            </w:pPr>
            <w:r>
              <w:rPr>
                <w:rFonts w:hint="eastAsia" w:ascii="宋体" w:hAnsi="宋体" w:eastAsia="宋体" w:cs="宋体"/>
                <w:i w:val="0"/>
                <w:iCs w:val="0"/>
                <w:color w:val="000000"/>
                <w:kern w:val="0"/>
                <w:sz w:val="24"/>
                <w:szCs w:val="24"/>
                <w:u w:val="none"/>
                <w:lang w:val="en-US" w:eastAsia="zh-CN" w:bidi="ar"/>
              </w:rPr>
              <w:t>面向数字媒体的互联网+数字水印关键技术研究与应用</w:t>
            </w:r>
          </w:p>
        </w:tc>
        <w:tc>
          <w:tcPr>
            <w:tcW w:w="13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4"/>
                <w:szCs w:val="24"/>
                <w:u w:val="none"/>
                <w:lang w:val="en-US" w:eastAsia="zh-CN" w:bidi="ar"/>
              </w:rPr>
              <w:t>陈海山</w:t>
            </w:r>
          </w:p>
        </w:tc>
        <w:tc>
          <w:tcPr>
            <w:tcW w:w="188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iCs w:val="0"/>
                <w:color w:val="000000"/>
                <w:kern w:val="0"/>
                <w:sz w:val="24"/>
                <w:szCs w:val="24"/>
                <w:u w:val="none"/>
                <w:lang w:val="en-US" w:eastAsia="zh-CN" w:bidi="ar"/>
              </w:rPr>
              <w:t>电气与计算机工程学院</w:t>
            </w:r>
          </w:p>
        </w:tc>
      </w:tr>
      <w:tr>
        <w:tblPrEx>
          <w:tblCellMar>
            <w:top w:w="15" w:type="dxa"/>
            <w:left w:w="15" w:type="dxa"/>
            <w:bottom w:w="15" w:type="dxa"/>
            <w:right w:w="15" w:type="dxa"/>
          </w:tblCellMar>
        </w:tblPrEx>
        <w:trPr>
          <w:trHeight w:val="437"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3</w:t>
            </w:r>
            <w:r>
              <w:rPr>
                <w:rFonts w:ascii="宋体" w:hAnsi="宋体" w:cs="宋体"/>
                <w:color w:val="000000"/>
                <w:kern w:val="0"/>
                <w:sz w:val="22"/>
                <w:szCs w:val="22"/>
              </w:rPr>
              <w:t>0-1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w:t>
            </w:r>
          </w:p>
        </w:tc>
        <w:tc>
          <w:tcPr>
            <w:tcW w:w="46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基于基片集成波导双频天线的理论设计与技术研究</w:t>
            </w:r>
          </w:p>
        </w:tc>
        <w:tc>
          <w:tcPr>
            <w:tcW w:w="136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邓秋君</w:t>
            </w:r>
          </w:p>
        </w:tc>
        <w:tc>
          <w:tcPr>
            <w:tcW w:w="188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电气与计算机工程学院</w:t>
            </w:r>
          </w:p>
        </w:tc>
      </w:tr>
      <w:tr>
        <w:tblPrEx>
          <w:tblCellMar>
            <w:top w:w="15" w:type="dxa"/>
            <w:left w:w="15" w:type="dxa"/>
            <w:bottom w:w="15" w:type="dxa"/>
            <w:right w:w="15" w:type="dxa"/>
          </w:tblCellMar>
        </w:tblPrEx>
        <w:trPr>
          <w:trHeight w:val="437"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3</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5</w:t>
            </w:r>
            <w:r>
              <w:rPr>
                <w:rFonts w:ascii="宋体" w:hAnsi="宋体" w:cs="宋体"/>
                <w:color w:val="000000"/>
                <w:kern w:val="0"/>
                <w:sz w:val="22"/>
                <w:szCs w:val="22"/>
              </w:rPr>
              <w:t>0-1</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w:t>
            </w:r>
            <w:r>
              <w:rPr>
                <w:rFonts w:ascii="宋体" w:hAnsi="宋体" w:cs="宋体"/>
                <w:color w:val="000000"/>
                <w:kern w:val="0"/>
                <w:sz w:val="22"/>
                <w:szCs w:val="22"/>
              </w:rPr>
              <w:t>0</w:t>
            </w:r>
          </w:p>
        </w:tc>
        <w:tc>
          <w:tcPr>
            <w:tcW w:w="46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基于OEC管理法构建本科《基础护理学》实践教学激励机制-推进护理学专业认证进程</w:t>
            </w:r>
          </w:p>
        </w:tc>
        <w:tc>
          <w:tcPr>
            <w:tcW w:w="136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吴圆荣</w:t>
            </w:r>
          </w:p>
        </w:tc>
        <w:tc>
          <w:tcPr>
            <w:tcW w:w="188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护理与健康学院</w:t>
            </w:r>
          </w:p>
        </w:tc>
      </w:tr>
      <w:tr>
        <w:tblPrEx>
          <w:tblCellMar>
            <w:top w:w="15" w:type="dxa"/>
            <w:left w:w="15" w:type="dxa"/>
            <w:bottom w:w="15" w:type="dxa"/>
            <w:right w:w="15" w:type="dxa"/>
          </w:tblCellMar>
        </w:tblPrEx>
        <w:trPr>
          <w:trHeight w:val="437"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4</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1</w:t>
            </w:r>
            <w:r>
              <w:rPr>
                <w:rFonts w:ascii="宋体" w:hAnsi="宋体" w:cs="宋体"/>
                <w:color w:val="000000"/>
                <w:kern w:val="0"/>
                <w:sz w:val="22"/>
                <w:szCs w:val="22"/>
              </w:rPr>
              <w:t>0-1</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3</w:t>
            </w:r>
            <w:r>
              <w:rPr>
                <w:rFonts w:ascii="宋体" w:hAnsi="宋体" w:cs="宋体"/>
                <w:color w:val="000000"/>
                <w:kern w:val="0"/>
                <w:sz w:val="22"/>
                <w:szCs w:val="22"/>
              </w:rPr>
              <w:t>0</w:t>
            </w:r>
          </w:p>
        </w:tc>
        <w:tc>
          <w:tcPr>
            <w:tcW w:w="463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Times New Roman"/>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血清CEA、NSE、SCC、CYFRA21-1联合EGFR基因检测在肺癌诊治中的临床应用研究</w:t>
            </w:r>
          </w:p>
        </w:tc>
        <w:tc>
          <w:tcPr>
            <w:tcW w:w="136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林龙</w:t>
            </w:r>
          </w:p>
        </w:tc>
        <w:tc>
          <w:tcPr>
            <w:tcW w:w="188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云康医学与健康管理学院</w:t>
            </w:r>
          </w:p>
        </w:tc>
      </w:tr>
    </w:tbl>
    <w:p>
      <w:pPr>
        <w:rPr>
          <w:rFonts w:hint="default" w:eastAsia="宋体"/>
          <w:sz w:val="24"/>
          <w:lang w:val="en-US" w:eastAsia="zh-CN"/>
        </w:rPr>
      </w:pPr>
      <w:r>
        <w:rPr>
          <w:rFonts w:hint="eastAsia"/>
          <w:sz w:val="24"/>
        </w:rPr>
        <w:t>备注：每个项目汇报时间为</w:t>
      </w:r>
      <w:r>
        <w:rPr>
          <w:rFonts w:hint="eastAsia"/>
          <w:b/>
          <w:color w:val="FF0000"/>
          <w:sz w:val="24"/>
          <w:lang w:val="en-US" w:eastAsia="zh-CN"/>
        </w:rPr>
        <w:t>10</w:t>
      </w:r>
      <w:r>
        <w:rPr>
          <w:rFonts w:hint="eastAsia"/>
          <w:b/>
          <w:color w:val="FF0000"/>
          <w:sz w:val="24"/>
        </w:rPr>
        <w:t>分钟</w:t>
      </w:r>
      <w:r>
        <w:rPr>
          <w:rFonts w:hint="eastAsia"/>
          <w:sz w:val="24"/>
          <w:lang w:eastAsia="zh-CN"/>
        </w:rPr>
        <w:t>，</w:t>
      </w:r>
      <w:r>
        <w:rPr>
          <w:rFonts w:hint="eastAsia"/>
          <w:sz w:val="24"/>
          <w:lang w:val="en-US" w:eastAsia="zh-CN"/>
        </w:rPr>
        <w:t>专家提问时间为10分钟。</w:t>
      </w:r>
    </w:p>
    <w:p>
      <w:pPr>
        <w:rPr>
          <w:color w:val="FF0000"/>
        </w:rPr>
      </w:pPr>
    </w:p>
    <w:sectPr>
      <w:footerReference r:id="rId3" w:type="default"/>
      <w:pgSz w:w="11906" w:h="16838"/>
      <w:pgMar w:top="850" w:right="850" w:bottom="850" w:left="850" w:header="454" w:footer="454" w:gutter="0"/>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17145"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F1YZnSAAAABAEAAA8AAAAAAAAAAQAgAAAAIgAAAGRycy9k&#10;b3ducmV2LnhtbFBLAQIUABQAAAAIAIdO4kDL/95ECAIAAAIEAAAOAAAAAAAAAAEAIAAAACEBAABk&#10;cnMvZTJvRG9jLnhtbFBLBQYAAAAABgAGAFkBAACbBQAAAAA=&#10;">
              <v:fill on="f" focussize="0,0"/>
              <v:stroke on="f"/>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00D91E52"/>
    <w:rsid w:val="000009E9"/>
    <w:rsid w:val="00027BA3"/>
    <w:rsid w:val="000C4FC5"/>
    <w:rsid w:val="00154270"/>
    <w:rsid w:val="00203A08"/>
    <w:rsid w:val="002741C8"/>
    <w:rsid w:val="00274D4F"/>
    <w:rsid w:val="00281CFC"/>
    <w:rsid w:val="002A4929"/>
    <w:rsid w:val="002F5385"/>
    <w:rsid w:val="0034009C"/>
    <w:rsid w:val="00351D69"/>
    <w:rsid w:val="00361C89"/>
    <w:rsid w:val="00383F88"/>
    <w:rsid w:val="003D1BFC"/>
    <w:rsid w:val="003D5AA0"/>
    <w:rsid w:val="00414853"/>
    <w:rsid w:val="004869F1"/>
    <w:rsid w:val="004B52B3"/>
    <w:rsid w:val="004C7175"/>
    <w:rsid w:val="004E3FB3"/>
    <w:rsid w:val="0050684E"/>
    <w:rsid w:val="00526CFA"/>
    <w:rsid w:val="00532A94"/>
    <w:rsid w:val="00560884"/>
    <w:rsid w:val="00581A0B"/>
    <w:rsid w:val="005946DD"/>
    <w:rsid w:val="005A2C14"/>
    <w:rsid w:val="005B5DA6"/>
    <w:rsid w:val="005C5982"/>
    <w:rsid w:val="005F4F13"/>
    <w:rsid w:val="00640D41"/>
    <w:rsid w:val="006A1C63"/>
    <w:rsid w:val="006E271A"/>
    <w:rsid w:val="0070524B"/>
    <w:rsid w:val="0074136A"/>
    <w:rsid w:val="007430C2"/>
    <w:rsid w:val="00765634"/>
    <w:rsid w:val="007D21F1"/>
    <w:rsid w:val="007D2BA2"/>
    <w:rsid w:val="007F1307"/>
    <w:rsid w:val="00856E64"/>
    <w:rsid w:val="008860C8"/>
    <w:rsid w:val="008B76BB"/>
    <w:rsid w:val="008F6C4A"/>
    <w:rsid w:val="0094368B"/>
    <w:rsid w:val="00944AFC"/>
    <w:rsid w:val="00945D74"/>
    <w:rsid w:val="00985332"/>
    <w:rsid w:val="009A669A"/>
    <w:rsid w:val="009F2EE2"/>
    <w:rsid w:val="00A05639"/>
    <w:rsid w:val="00A3084A"/>
    <w:rsid w:val="00A428B1"/>
    <w:rsid w:val="00AD0C7D"/>
    <w:rsid w:val="00AD33FE"/>
    <w:rsid w:val="00AF5928"/>
    <w:rsid w:val="00B11E24"/>
    <w:rsid w:val="00B27022"/>
    <w:rsid w:val="00B54FB5"/>
    <w:rsid w:val="00B84407"/>
    <w:rsid w:val="00B9758A"/>
    <w:rsid w:val="00BB3673"/>
    <w:rsid w:val="00BE4E54"/>
    <w:rsid w:val="00C13F2E"/>
    <w:rsid w:val="00C15C8D"/>
    <w:rsid w:val="00C244FA"/>
    <w:rsid w:val="00C33D63"/>
    <w:rsid w:val="00C856A8"/>
    <w:rsid w:val="00C948C2"/>
    <w:rsid w:val="00D03689"/>
    <w:rsid w:val="00D065D1"/>
    <w:rsid w:val="00D230DA"/>
    <w:rsid w:val="00D73280"/>
    <w:rsid w:val="00D81822"/>
    <w:rsid w:val="00D91E52"/>
    <w:rsid w:val="00D96F64"/>
    <w:rsid w:val="00DE3425"/>
    <w:rsid w:val="00E4371F"/>
    <w:rsid w:val="00EB6B60"/>
    <w:rsid w:val="00ED6662"/>
    <w:rsid w:val="00EE0DD4"/>
    <w:rsid w:val="00F31788"/>
    <w:rsid w:val="00F67E69"/>
    <w:rsid w:val="00F93527"/>
    <w:rsid w:val="00FC1052"/>
    <w:rsid w:val="00FC4869"/>
    <w:rsid w:val="02D408C9"/>
    <w:rsid w:val="0FB64855"/>
    <w:rsid w:val="176C1B81"/>
    <w:rsid w:val="205A15A6"/>
    <w:rsid w:val="21F26B79"/>
    <w:rsid w:val="2B152182"/>
    <w:rsid w:val="31E53637"/>
    <w:rsid w:val="34FE3A79"/>
    <w:rsid w:val="365D5A9C"/>
    <w:rsid w:val="5CB038B6"/>
    <w:rsid w:val="6D1E1B80"/>
    <w:rsid w:val="79F0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21"/>
    <w:basedOn w:val="5"/>
    <w:qFormat/>
    <w:uiPriority w:val="0"/>
    <w:rPr>
      <w:rFonts w:hint="eastAsia" w:ascii="宋体" w:hAnsi="宋体" w:eastAsia="宋体" w:cs="宋体"/>
      <w:color w:val="000000"/>
      <w:sz w:val="22"/>
      <w:szCs w:val="22"/>
      <w:u w:val="none"/>
    </w:rPr>
  </w:style>
  <w:style w:type="character" w:customStyle="1" w:styleId="7">
    <w:name w:val="font6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2"/>
      <w:szCs w:val="22"/>
      <w:u w:val="none"/>
    </w:rPr>
  </w:style>
  <w:style w:type="character" w:customStyle="1" w:styleId="9">
    <w:name w:val="页脚 Char"/>
    <w:basedOn w:val="5"/>
    <w:link w:val="2"/>
    <w:qFormat/>
    <w:uiPriority w:val="0"/>
    <w:rPr>
      <w:rFonts w:ascii="Calibri" w:hAnsi="Calibri" w:eastAsia="宋体" w:cs="Times New Roman"/>
      <w:sz w:val="18"/>
      <w:szCs w:val="24"/>
    </w:rPr>
  </w:style>
  <w:style w:type="character" w:customStyle="1" w:styleId="10">
    <w:name w:val="页眉 Char"/>
    <w:basedOn w:val="5"/>
    <w:link w:val="3"/>
    <w:qFormat/>
    <w:uiPriority w:val="99"/>
    <w:rPr>
      <w:rFonts w:ascii="Calibri" w:hAnsi="Calibri" w:eastAsia="宋体" w:cs="Times New Roman"/>
      <w:sz w:val="18"/>
      <w:szCs w:val="18"/>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672</Words>
  <Characters>852</Characters>
  <Lines>7</Lines>
  <Paragraphs>2</Paragraphs>
  <TotalTime>1</TotalTime>
  <ScaleCrop>false</ScaleCrop>
  <LinksUpToDate>false</LinksUpToDate>
  <CharactersWithSpaces>854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2021-10-18T09:29:00Z</dcterms:created>
  <dc:creator>Administrator</dc:creator>
  <cp:lastModifiedBy>一口吃掉小橘子</cp:lastModifiedBy>
  <dcterms:modified xsi:type="dcterms:W3CDTF">2022-11-04T08:28:56Z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8E6BD5053B53497E9B9ABBC4AC1E57DF</vt:lpwstr>
  </property>
</Properties>
</file>