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_GB2312" w:hAnsi="宋体" w:eastAsia="仿宋_GB2312" w:cs="Times New Roman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仿宋_GB2312" w:hAnsi="仿宋_GB2312" w:eastAsia="仿宋_GB2312" w:cs="仿宋_GB2312"/>
          <w:bCs/>
          <w:sz w:val="48"/>
          <w:szCs w:val="4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</w:pPr>
      <w:r>
        <w:rPr>
          <w:rFonts w:hint="eastAsia" w:ascii="仿宋_GB2312" w:hAnsi="仿宋_GB2312" w:eastAsia="仿宋_GB2312" w:cs="仿宋_GB2312"/>
          <w:bCs/>
          <w:sz w:val="48"/>
          <w:szCs w:val="48"/>
          <w:u w:val="none"/>
        </w:rPr>
        <w:t>结项申请书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2024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年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  <w:lang w:eastAsia="zh-CN"/>
        </w:rPr>
        <w:t>度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）</w:t>
      </w: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课题题目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负责人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联络人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hAnsi="Times New Roman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课题组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所在单位（公章）</w:t>
      </w:r>
      <w:r>
        <w:rPr>
          <w:rFonts w:hint="eastAsia" w:ascii="仿宋_GB2312" w:hAnsi="Times New Roman" w:eastAsia="宋体" w:cs="Times New Roman"/>
          <w:sz w:val="32"/>
          <w:u w:val="single"/>
          <w:lang w:val="en-US" w:eastAsia="zh-CN"/>
        </w:rPr>
        <w:t xml:space="preserve">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联系地址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jc w:val="both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hAnsi="Times New Roman" w:eastAsia="仿宋_GB2312" w:cs="Times New Roman"/>
          <w:b/>
          <w:bCs/>
          <w:sz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jc w:val="center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宋体" w:eastAsia="仿宋_GB2312" w:cs="Times New Roman"/>
          <w:sz w:val="28"/>
          <w:u w:val="none"/>
          <w:lang w:eastAsia="zh-CN"/>
        </w:rPr>
        <w:t>申请</w:t>
      </w:r>
      <w:r>
        <w:rPr>
          <w:rFonts w:hint="eastAsia" w:ascii="仿宋_GB2312" w:hAnsi="宋体" w:eastAsia="仿宋_GB2312" w:cs="Times New Roman"/>
          <w:sz w:val="28"/>
          <w:u w:val="none"/>
        </w:rPr>
        <w:t>结项时间：20</w:t>
      </w:r>
      <w:r>
        <w:rPr>
          <w:rFonts w:hint="eastAsia" w:ascii="仿宋_GB2312" w:hAnsi="宋体" w:eastAsia="宋体" w:cs="Times New Roman"/>
          <w:sz w:val="28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u w:val="none"/>
        </w:rPr>
        <w:t>年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月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日</w:t>
      </w: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</w:pPr>
      <w: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  <w:br w:type="page"/>
      </w:r>
    </w:p>
    <w:p>
      <w:pPr>
        <w:widowControl/>
        <w:wordWrap w:val="0"/>
        <w:spacing w:line="336" w:lineRule="auto"/>
        <w:jc w:val="center"/>
        <w:outlineLvl w:val="0"/>
        <w:rPr>
          <w:rFonts w:hint="eastAsia" w:ascii="黑体" w:hAnsi="黑体" w:eastAsia="黑体" w:cs="黑体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  <w:u w:val="none"/>
        </w:rPr>
        <w:t>说    明</w:t>
      </w:r>
    </w:p>
    <w:p>
      <w:pPr>
        <w:widowControl/>
        <w:wordWrap w:val="0"/>
        <w:spacing w:line="52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u w:val="none"/>
        </w:rPr>
      </w:pP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广东省财政科研课题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来源于广东财政改革实践需求，力求研究成果更加有效地服务中心工作，对财政实践具有较高参考价值和启发作用。课题组提交结项申请前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应对照此目的进行全面深入的评估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，确保研究的深度和质量。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left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（一）结项程序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1.研究工作完成后，课题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如实填写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将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一并报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材料进行审核，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加盖单位公章后，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送广东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省财政科研所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及加盖单位公章的扫描件）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3.省财政科研所组织专家对课题成果进行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验收，符合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省财政科研所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结项条件的，予以结项。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获奖成果将给予适当补助。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（二）提交材料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研究报告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（含完整版和精简版），须加封面、按统一格式排版；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3.第三方专业检测平台对研究报告完整版的查重报告。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4.课题研究成果公开发表论文及获得省领导批示相关材料。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上述材料电子版（含Word文档及加盖单位公章的扫描件）请按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“课题编号-课题题目-课题组负责人”命名，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发送至：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czt_kysyj1s@gd.gov.cn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联系电话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020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8317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0625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一、课题基本情况表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26"/>
        <w:gridCol w:w="330"/>
        <w:gridCol w:w="854"/>
        <w:gridCol w:w="919"/>
        <w:gridCol w:w="1330"/>
        <w:gridCol w:w="407"/>
        <w:gridCol w:w="344"/>
        <w:gridCol w:w="139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  <w:t>结项课题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题目</w:t>
            </w:r>
          </w:p>
        </w:tc>
        <w:tc>
          <w:tcPr>
            <w:tcW w:w="66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结项申报题目（如有变更请填写）：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课题编号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（根据立项公告填写课题编号）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主题词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成果字数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       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0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widowControl/>
              <w:ind w:left="0" w:right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姓名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单位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职称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注：课题组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成员按呈报时的实际署名顺序填写，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成员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人数不得超过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br w:type="page"/>
      </w:r>
    </w:p>
    <w:p>
      <w:pPr>
        <w:widowControl/>
        <w:numPr>
          <w:ilvl w:val="0"/>
          <w:numId w:val="1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调研工作总结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2" w:hRule="atLeast"/>
          <w:jc w:val="center"/>
        </w:trPr>
        <w:tc>
          <w:tcPr>
            <w:tcW w:w="9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主要内容提示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1.采用了何种研究方法？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调研的扎实度：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（1）广度：调研覆盖面是否广泛？（实地调研到达的省、市、县（区），覆盖的行业、企业等）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（2）深度：调研是否深入基层？（深入乡镇、企业生产一线进行调研的情况）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（3）精度：调研对象是否具有代表性？（选取数量、方法，座谈情况等）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3.相关情况是否摸查清楚、全面掌握？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4.调研中找到了什么问题？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  <w:t>三、研究报告精简版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</w:trPr>
        <w:tc>
          <w:tcPr>
            <w:tcW w:w="9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5000字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按照“情况摸清、问题找准、对策提实”的要求，一是填写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的主要内容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重要观点或对策建议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所占篇幅不低于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二是汇报课题预期成果或预期创新点实现情况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课题研究报告查重情况（第三方检测报告另附，无此项不予通过结项验收）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napToGrid w:val="0"/>
              <w:ind w:right="480" w:firstLine="240" w:firstLine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（请简述检测结果基本情况，如文字重复率等）</w:t>
            </w: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五、广东省财政厅业务处室反馈意见及采纳情况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1.业务处室反馈意见；</w:t>
            </w:r>
          </w:p>
          <w:p>
            <w:pPr>
              <w:widowControl/>
              <w:snapToGrid w:val="0"/>
              <w:ind w:right="480" w:firstLine="48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2.具体采纳情况。</w:t>
            </w:r>
          </w:p>
        </w:tc>
      </w:tr>
    </w:tbl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六、课题研究成果公开发表情况及获得省领导批示情况（公开发表论文及获得批示相关材料另附）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5"/>
        <w:gridCol w:w="3225"/>
        <w:gridCol w:w="172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论文标题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作者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发表刊物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及刊期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480" w:firstLine="6360" w:firstLineChars="2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获得省领导批示情况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（20××年××月××日，获得×××批示：“……”）</w:t>
            </w:r>
          </w:p>
        </w:tc>
      </w:tr>
    </w:tbl>
    <w:p>
      <w:pPr>
        <w:widowControl/>
        <w:wordWrap w:val="0"/>
        <w:adjustRightInd/>
        <w:snapToGrid/>
        <w:spacing w:line="336" w:lineRule="auto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1.公开发表论文及呈报省领导材料均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在醒目位置标明“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××年广东省财政科研课题”字样并注明课题编号。</w:t>
      </w:r>
    </w:p>
    <w:p>
      <w:pPr>
        <w:widowControl/>
        <w:wordWrap w:val="0"/>
        <w:adjustRightInd/>
        <w:snapToGrid/>
        <w:spacing w:line="336" w:lineRule="auto"/>
        <w:ind w:left="0" w:firstLine="420" w:firstLineChars="175"/>
        <w:jc w:val="left"/>
        <w:rPr>
          <w:rFonts w:hint="default" w:ascii="仿宋_GB2312" w:hAnsi="仿宋_GB2312" w:eastAsia="仿宋_GB2312" w:cs="仿宋_GB2312"/>
          <w:kern w:val="0"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2.公开发表论文须另附期刊扫描件或中国知网下载件，省领导批示件须另附扫描件。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u w:val="none"/>
          <w:lang w:eastAsia="zh-CN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七、课题组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负责人所在单位审核意见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2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（请对课题研究成果进行审核，提出具体意见，包括：课题研究报告评价，是否同意申请结项等）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>课题组负责人（签字）：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  <w:t>（课题组负责人所在单位公章）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91C5C"/>
    <w:multiLevelType w:val="singleLevel"/>
    <w:tmpl w:val="D8791C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TcwODI4NmQxN2RiYzRjM2JjYjUyNWI4YzdjNWYifQ=="/>
    <w:docVar w:name="KGWebUrl" w:val="http://gcoa.gdczt.gov.cn:8080/bgzdhxt/weaver/weaver.file.FileDownloadForNews?uuid=4526837c-36ed-43d0-9186-d80b82abb527&amp;fileid=2468833&amp;type=document&amp;isofficeview=0"/>
  </w:docVars>
  <w:rsids>
    <w:rsidRoot w:val="398F0EE7"/>
    <w:rsid w:val="2D682F4C"/>
    <w:rsid w:val="33CA752C"/>
    <w:rsid w:val="37EB1DF7"/>
    <w:rsid w:val="398F0EE7"/>
    <w:rsid w:val="43276280"/>
    <w:rsid w:val="67FD3AB7"/>
    <w:rsid w:val="76865581"/>
    <w:rsid w:val="A7F5D44F"/>
    <w:rsid w:val="AC9E2ACF"/>
    <w:rsid w:val="BAFDC3BC"/>
    <w:rsid w:val="BF432855"/>
    <w:rsid w:val="FE37B71A"/>
    <w:rsid w:val="FF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2023-04-24T09:24:00Z</dcterms:created>
  <dc:creator>郑德琳</dc:creator>
  <cp:lastModifiedBy>solarmoon</cp:lastModifiedBy>
  <dcterms:modified xsi:type="dcterms:W3CDTF">2024-04-18T08:50:01Z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8003CE65F2AE414AF1C71466CD098D28</vt:lpwstr>
  </property>
</Properties>
</file>