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left"/>
        <w:rPr>
          <w:rFonts w:ascii="黑体" w:hAnsi="等线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等线" w:eastAsia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before="156" w:beforeLines="50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广东省民办教育协会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2024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宋体" w:hAnsi="宋体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民办高校</w:t>
      </w:r>
      <w:r>
        <w:rPr>
          <w:rFonts w:hint="eastAsia"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科研课题指南</w:t>
      </w:r>
    </w:p>
    <w:bookmarkEnd w:id="0"/>
    <w:p>
      <w:pPr>
        <w:spacing w:line="440" w:lineRule="exact"/>
        <w:rPr>
          <w:rFonts w:ascii="宋体" w:hAns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民办学校党建与德育研究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民办学校党建工作研究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民办学校课程思政改革研究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民办高校党委标准化规范化建设研究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民办学校“三全育人”改革研究</w:t>
      </w:r>
    </w:p>
    <w:p>
      <w:pPr>
        <w:numPr>
          <w:ilvl w:val="0"/>
          <w:numId w:val="2"/>
        </w:numPr>
        <w:shd w:val="clear" w:color="auto" w:fill="auto"/>
        <w:spacing w:line="440" w:lineRule="exact"/>
        <w:ind w:left="425" w:leftChars="0" w:right="0" w:rightChars="0" w:hanging="425" w:firstLineChars="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民办师德师风建设研究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新形势下美育融入大学生思想政治教育路径研究</w:t>
      </w:r>
    </w:p>
    <w:p>
      <w:pPr>
        <w:numPr>
          <w:ilvl w:val="0"/>
          <w:numId w:val="2"/>
        </w:numPr>
        <w:spacing w:line="440" w:lineRule="exact"/>
        <w:ind w:left="425" w:leftChars="0" w:right="0" w:rightChars="0" w:hanging="425" w:firstLineChars="0"/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马克思主义中国化时代化的“两个结合”研究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7" w:right="0" w:right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87" w:firstLineChars="27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民办教育综合或区域性研究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习近平总书记关于教育的重要论述研究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广东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高等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高质量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发展理论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中外民办教育比较研究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人口因素对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民办教育可持续性发展战略研究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广东省民办高等教育发展报告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广东省民办教育上市情况调研报告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民办教育集团化办学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前景分析及对策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广东省民办教育典型案例研究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应用学科与区域经济社会高质量发展对接联动研究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普及化时代民办高等教育发展定位与价值变革研究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民办高校高质量发展目标、任务和路径研究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独立学院转设后发展挑战与策略选择研究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新时代民办高等教育治理体系研究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cyan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民办学校管理机制研究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民办学校法人治理机制创新研究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民办学校特色文化建设研究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民办学校教师权益保护研究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民办学校师资队伍建设研究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民办学校分类评价机制研究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民办学校职称评审改革研究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新形势下民办学校税收管理研究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民办学校社会服务研究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服务分类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管理研究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民办学校的市场监管机制研究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民办学校服务区域经济发展研究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民办学校产教融合与校企合作机制研究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民办学校与“一带一路”建设研究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民办学校与粤港澳大湾区建设发展研究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民办教育发展中的政府职责研究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民办教育的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分类管理及其评价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right="0" w:rightChars="0" w:hanging="425" w:firstLineChars="0"/>
        <w:jc w:val="both"/>
        <w:textAlignment w:val="auto"/>
        <w:rPr>
          <w:rFonts w:hint="default" w:ascii="仿宋" w:hAnsi="仿宋" w:eastAsia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粤港澳大湾区产学研资源共建共享机制创新研究</w:t>
      </w:r>
    </w:p>
    <w:p>
      <w:pPr>
        <w:spacing w:line="440" w:lineRule="exact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民办高校应用型发展研究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民办高校应用型人才模式研究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民办高校应用型专业特色建设研究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民办高校应用型课程体系建设研究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民办高校实践教学研究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民办高校教学信息化建设研究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民办高校应用型人才质量保障体系构建研究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民办高校应用型人才创新创业研究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民办高校应用型教学管理创新研究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民办高校教师应用型教师教学能力发展研究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  <w:t>民办高校人才培养模式与机制</w:t>
      </w: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创新</w:t>
      </w: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bidi="ar"/>
        </w:rPr>
        <w:t>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ascii="黑体" w:hAnsi="黑体" w:eastAsia="黑体"/>
          <w:color w:val="auto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高等学校教学创新研究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 w:bidi="ar"/>
        </w:rPr>
        <w:t>人工智能与高校教育教学改革研究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5" w:leftChars="0" w:hanging="425" w:firstLineChars="0"/>
        <w:jc w:val="both"/>
        <w:textAlignment w:val="auto"/>
        <w:rPr>
          <w:rFonts w:hint="default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面对人工智能学校如何调整优化学科专业结构</w:t>
      </w:r>
    </w:p>
    <w:p>
      <w:pPr>
        <w:spacing w:line="440" w:lineRule="exact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民办教育的其它问题研究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EF09BD"/>
    <w:multiLevelType w:val="singleLevel"/>
    <w:tmpl w:val="86EF09B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D2D6D0B"/>
    <w:multiLevelType w:val="singleLevel"/>
    <w:tmpl w:val="AD2D6D0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AEFAA5F"/>
    <w:multiLevelType w:val="singleLevel"/>
    <w:tmpl w:val="CAEFAA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CDE06369"/>
    <w:multiLevelType w:val="singleLevel"/>
    <w:tmpl w:val="CDE0636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738B264"/>
    <w:multiLevelType w:val="singleLevel"/>
    <w:tmpl w:val="3738B2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5643687A"/>
    <w:multiLevelType w:val="singleLevel"/>
    <w:tmpl w:val="5643687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OWMxODcwY2M2MDIxZTQ2YzA1ZjM4N2QwODg3OWQifQ=="/>
  </w:docVars>
  <w:rsids>
    <w:rsidRoot w:val="00000000"/>
    <w:rsid w:val="4C7B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2024-03-13T01:31:38Z</dcterms:created>
  <dc:creator>pc</dc:creator>
  <cp:lastModifiedBy>pc</cp:lastModifiedBy>
  <dcterms:modified xsi:type="dcterms:W3CDTF">2024-03-13T01:33:40Z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4710EAC4A3F64F9389230084FB6C2969_12</vt:lpwstr>
  </property>
</Properties>
</file>